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86B2E" w14:textId="009E9560" w:rsidR="00BF55A5" w:rsidRPr="001772FD" w:rsidRDefault="00BF55A5" w:rsidP="00BF55A5">
      <w:pPr>
        <w:tabs>
          <w:tab w:val="left" w:pos="1701"/>
          <w:tab w:val="right" w:pos="9639"/>
        </w:tabs>
        <w:overflowPunct w:val="0"/>
        <w:autoSpaceDE w:val="0"/>
        <w:autoSpaceDN w:val="0"/>
        <w:adjustRightInd w:val="0"/>
        <w:spacing w:after="60" w:line="240" w:lineRule="auto"/>
        <w:jc w:val="both"/>
        <w:rPr>
          <w:rFonts w:ascii="Arial" w:eastAsia="Times New Roman" w:hAnsi="Arial" w:cs="Times New Roman"/>
          <w:b/>
          <w:sz w:val="32"/>
          <w:szCs w:val="32"/>
          <w:lang w:val="en-GB" w:eastAsia="zh-CN"/>
        </w:rPr>
      </w:pPr>
      <w:r w:rsidRPr="001772FD">
        <w:rPr>
          <w:rFonts w:ascii="Arial" w:eastAsia="Times New Roman" w:hAnsi="Arial" w:cs="Times New Roman"/>
          <w:b/>
          <w:sz w:val="24"/>
          <w:szCs w:val="20"/>
          <w:lang w:val="en-GB" w:eastAsia="zh-CN"/>
        </w:rPr>
        <w:t>3GPP TSG RAN WG1 Meeting #9</w:t>
      </w:r>
      <w:r w:rsidR="00522137">
        <w:rPr>
          <w:rFonts w:ascii="Arial" w:eastAsia="Times New Roman" w:hAnsi="Arial" w:cs="Times New Roman"/>
          <w:b/>
          <w:sz w:val="24"/>
          <w:szCs w:val="20"/>
          <w:lang w:val="en-GB" w:eastAsia="zh-CN"/>
        </w:rPr>
        <w:t>7</w:t>
      </w:r>
      <w:r w:rsidRPr="001772FD">
        <w:rPr>
          <w:rFonts w:ascii="Arial" w:eastAsia="Times New Roman" w:hAnsi="Arial" w:cs="Times New Roman"/>
          <w:b/>
          <w:sz w:val="24"/>
          <w:szCs w:val="20"/>
          <w:lang w:val="en-GB" w:eastAsia="zh-CN"/>
        </w:rPr>
        <w:tab/>
      </w:r>
      <w:r w:rsidRPr="001772FD">
        <w:rPr>
          <w:rFonts w:ascii="Arial" w:eastAsia="Times New Roman" w:hAnsi="Arial" w:cs="Times New Roman"/>
          <w:b/>
          <w:sz w:val="32"/>
          <w:szCs w:val="32"/>
          <w:lang w:val="en-GB" w:eastAsia="zh-CN"/>
        </w:rPr>
        <w:t>R1-</w:t>
      </w:r>
      <w:r w:rsidR="00AC0ADD" w:rsidRPr="00AC0ADD">
        <w:rPr>
          <w:rFonts w:ascii="Arial" w:eastAsia="Times New Roman" w:hAnsi="Arial" w:cs="Times New Roman"/>
          <w:b/>
          <w:sz w:val="32"/>
          <w:szCs w:val="32"/>
          <w:lang w:val="en-GB" w:eastAsia="zh-CN"/>
        </w:rPr>
        <w:t>19</w:t>
      </w:r>
      <w:r w:rsidR="003A4B13">
        <w:rPr>
          <w:rFonts w:ascii="Arial" w:eastAsia="Times New Roman" w:hAnsi="Arial" w:cs="Times New Roman"/>
          <w:b/>
          <w:sz w:val="32"/>
          <w:szCs w:val="32"/>
          <w:lang w:val="en-GB" w:eastAsia="zh-CN"/>
        </w:rPr>
        <w:t>07581</w:t>
      </w:r>
      <w:bookmarkStart w:id="0" w:name="_GoBack"/>
      <w:bookmarkEnd w:id="0"/>
    </w:p>
    <w:p w14:paraId="1554BB00" w14:textId="3AAB7FCF" w:rsidR="00BF55A5" w:rsidRPr="00BF55A5" w:rsidRDefault="00522137"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Reno, USA,</w:t>
      </w:r>
      <w:r w:rsidR="00590780">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13</w:t>
      </w:r>
      <w:r w:rsidRPr="00522137">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 17</w:t>
      </w:r>
      <w:r w:rsidRPr="00522137">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May</w:t>
      </w:r>
      <w:r w:rsidR="00BF55A5" w:rsidRPr="00BF55A5">
        <w:rPr>
          <w:rFonts w:ascii="Arial" w:eastAsia="Times New Roman" w:hAnsi="Arial" w:cs="Times New Roman"/>
          <w:b/>
          <w:sz w:val="24"/>
          <w:szCs w:val="20"/>
          <w:lang w:val="en-GB" w:eastAsia="zh-CN"/>
        </w:rPr>
        <w:t xml:space="preserve"> 201</w:t>
      </w:r>
      <w:r w:rsidR="00150516">
        <w:rPr>
          <w:rFonts w:ascii="Arial" w:eastAsia="Times New Roman" w:hAnsi="Arial" w:cs="Times New Roman"/>
          <w:b/>
          <w:sz w:val="24"/>
          <w:szCs w:val="20"/>
          <w:lang w:val="en-GB" w:eastAsia="zh-CN"/>
        </w:rPr>
        <w:t>9</w:t>
      </w:r>
    </w:p>
    <w:p w14:paraId="6E96A911"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val="en-GB" w:eastAsia="zh-CN"/>
        </w:rPr>
      </w:pPr>
    </w:p>
    <w:p w14:paraId="24E0E89D"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eastAsia="zh-CN"/>
        </w:rPr>
      </w:pPr>
      <w:r w:rsidRPr="00BF55A5">
        <w:rPr>
          <w:rFonts w:ascii="Arial" w:eastAsia="Times New Roman" w:hAnsi="Arial" w:cs="Times New Roman"/>
          <w:b/>
          <w:lang w:eastAsia="zh-CN"/>
        </w:rPr>
        <w:t>Agenda Item:</w:t>
      </w:r>
      <w:r w:rsidRPr="00BF55A5">
        <w:rPr>
          <w:rFonts w:ascii="Arial" w:eastAsia="Times New Roman" w:hAnsi="Arial" w:cs="Times New Roman"/>
          <w:b/>
          <w:lang w:eastAsia="zh-CN"/>
        </w:rPr>
        <w:tab/>
      </w:r>
      <w:r w:rsidRPr="00BF55A5">
        <w:rPr>
          <w:rFonts w:ascii="Arial" w:eastAsia="Times New Roman" w:hAnsi="Arial" w:cs="Times New Roman"/>
          <w:b/>
          <w:szCs w:val="18"/>
          <w:lang w:val="en-GB" w:eastAsia="zh-CN"/>
        </w:rPr>
        <w:t>6.2.1.4</w:t>
      </w:r>
    </w:p>
    <w:p w14:paraId="63489730"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GB" w:eastAsia="zh-CN"/>
        </w:rPr>
      </w:pPr>
      <w:r w:rsidRPr="00BF55A5">
        <w:rPr>
          <w:rFonts w:ascii="Arial" w:eastAsia="Times New Roman" w:hAnsi="Arial" w:cs="Times New Roman"/>
          <w:b/>
          <w:lang w:val="en-GB" w:eastAsia="zh-CN"/>
        </w:rPr>
        <w:t>Source:</w:t>
      </w:r>
      <w:r w:rsidRPr="00BF55A5">
        <w:rPr>
          <w:rFonts w:ascii="Arial" w:eastAsia="Times New Roman" w:hAnsi="Arial" w:cs="Times New Roman"/>
          <w:b/>
          <w:lang w:val="en-GB" w:eastAsia="zh-CN"/>
        </w:rPr>
        <w:tab/>
        <w:t>Ericsson</w:t>
      </w:r>
    </w:p>
    <w:p w14:paraId="74921BC3" w14:textId="31E2F76D" w:rsidR="00531537" w:rsidRPr="00C148F9" w:rsidRDefault="00531537" w:rsidP="00531537">
      <w:pPr>
        <w:pStyle w:val="3GPPHeader"/>
        <w:rPr>
          <w:rFonts w:ascii="Arial" w:hAnsi="Arial" w:cs="Arial"/>
          <w:sz w:val="22"/>
        </w:rPr>
      </w:pPr>
      <w:r w:rsidRPr="00C148F9">
        <w:rPr>
          <w:rFonts w:ascii="Arial" w:hAnsi="Arial" w:cs="Arial"/>
          <w:sz w:val="22"/>
        </w:rPr>
        <w:t>Title:</w:t>
      </w:r>
      <w:r w:rsidRPr="00C148F9">
        <w:rPr>
          <w:rFonts w:ascii="Arial" w:hAnsi="Arial" w:cs="Arial"/>
          <w:sz w:val="22"/>
        </w:rPr>
        <w:tab/>
        <w:t xml:space="preserve">Feature </w:t>
      </w:r>
      <w:r w:rsidR="008138B3" w:rsidRPr="00C148F9">
        <w:rPr>
          <w:rFonts w:ascii="Arial" w:hAnsi="Arial" w:cs="Arial"/>
          <w:sz w:val="22"/>
        </w:rPr>
        <w:t xml:space="preserve">lead </w:t>
      </w:r>
      <w:r w:rsidRPr="00C148F9">
        <w:rPr>
          <w:rFonts w:ascii="Arial" w:hAnsi="Arial" w:cs="Arial"/>
          <w:sz w:val="22"/>
        </w:rPr>
        <w:t xml:space="preserve">summary </w:t>
      </w:r>
      <w:r w:rsidR="008138B3" w:rsidRPr="00C148F9">
        <w:rPr>
          <w:rFonts w:ascii="Arial" w:hAnsi="Arial" w:cs="Arial"/>
          <w:sz w:val="22"/>
        </w:rPr>
        <w:t>for</w:t>
      </w:r>
      <w:r w:rsidRPr="00C148F9">
        <w:rPr>
          <w:rFonts w:ascii="Arial" w:hAnsi="Arial" w:cs="Arial"/>
          <w:sz w:val="22"/>
        </w:rPr>
        <w:t xml:space="preserve"> </w:t>
      </w:r>
      <w:r w:rsidR="008138B3" w:rsidRPr="00C148F9">
        <w:rPr>
          <w:rFonts w:ascii="Arial" w:hAnsi="Arial" w:cs="Arial"/>
          <w:sz w:val="22"/>
        </w:rPr>
        <w:t>C</w:t>
      </w:r>
      <w:r w:rsidR="00A519D5" w:rsidRPr="00C148F9">
        <w:rPr>
          <w:rFonts w:ascii="Arial" w:hAnsi="Arial" w:cs="Arial"/>
          <w:sz w:val="22"/>
        </w:rPr>
        <w:t xml:space="preserve">oexistence of </w:t>
      </w:r>
      <w:r w:rsidR="00B714D6" w:rsidRPr="00C148F9">
        <w:rPr>
          <w:rFonts w:ascii="Arial" w:hAnsi="Arial" w:cs="Arial"/>
          <w:sz w:val="22"/>
        </w:rPr>
        <w:t>LTE-MTC</w:t>
      </w:r>
      <w:r w:rsidR="00A519D5" w:rsidRPr="00C148F9">
        <w:rPr>
          <w:rFonts w:ascii="Arial" w:hAnsi="Arial" w:cs="Arial"/>
          <w:sz w:val="22"/>
        </w:rPr>
        <w:t xml:space="preserve"> with NR</w:t>
      </w:r>
    </w:p>
    <w:p w14:paraId="243FEC2C" w14:textId="77777777" w:rsidR="00531537" w:rsidRPr="00C148F9" w:rsidRDefault="00531537" w:rsidP="00531537">
      <w:pPr>
        <w:pStyle w:val="3GPPHeader"/>
        <w:rPr>
          <w:rFonts w:ascii="Arial" w:hAnsi="Arial" w:cs="Arial"/>
          <w:sz w:val="22"/>
        </w:rPr>
      </w:pPr>
      <w:r w:rsidRPr="00C148F9">
        <w:rPr>
          <w:rFonts w:ascii="Arial" w:hAnsi="Arial" w:cs="Arial"/>
          <w:sz w:val="22"/>
        </w:rPr>
        <w:t>Document for:</w:t>
      </w:r>
      <w:r w:rsidRPr="00C148F9">
        <w:rPr>
          <w:rFonts w:ascii="Arial" w:hAnsi="Arial" w:cs="Arial"/>
          <w:sz w:val="22"/>
        </w:rPr>
        <w:tab/>
        <w:t>Discussion and Decision</w:t>
      </w:r>
    </w:p>
    <w:p w14:paraId="43540FDA" w14:textId="77777777" w:rsidR="00531537" w:rsidRDefault="00531537" w:rsidP="00C17A6B">
      <w:pPr>
        <w:pStyle w:val="Heading1"/>
        <w:numPr>
          <w:ilvl w:val="0"/>
          <w:numId w:val="12"/>
        </w:numPr>
        <w:jc w:val="both"/>
        <w:textAlignment w:val="auto"/>
        <w:rPr>
          <w:lang w:val="en-US"/>
        </w:rPr>
      </w:pPr>
      <w:r>
        <w:rPr>
          <w:lang w:val="en-US"/>
        </w:rPr>
        <w:t>Introduction</w:t>
      </w:r>
    </w:p>
    <w:p w14:paraId="67412C36" w14:textId="309B8943" w:rsidR="0088189C" w:rsidRDefault="002C6937" w:rsidP="008903C6">
      <w:pPr>
        <w:pStyle w:val="BodyText"/>
        <w:rPr>
          <w:rFonts w:ascii="Arial" w:hAnsi="Arial" w:cs="Arial"/>
          <w:sz w:val="20"/>
        </w:rPr>
      </w:pPr>
      <w:r w:rsidRPr="007C2B1D">
        <w:rPr>
          <w:rFonts w:ascii="Arial" w:hAnsi="Arial" w:cs="Arial"/>
          <w:sz w:val="20"/>
        </w:rPr>
        <w:t xml:space="preserve">In the </w:t>
      </w:r>
      <w:r w:rsidR="007F30D2">
        <w:rPr>
          <w:rFonts w:ascii="Arial" w:hAnsi="Arial" w:cs="Arial"/>
          <w:sz w:val="20"/>
        </w:rPr>
        <w:t xml:space="preserve">Rel-16 </w:t>
      </w:r>
      <w:r w:rsidRPr="007C2B1D">
        <w:rPr>
          <w:rFonts w:ascii="Arial" w:hAnsi="Arial" w:cs="Arial"/>
          <w:sz w:val="20"/>
        </w:rPr>
        <w:t xml:space="preserve">work item on “Additional MTC enhancements for LTE” </w:t>
      </w:r>
      <w:r w:rsidR="00A72A8E">
        <w:rPr>
          <w:rFonts w:ascii="Arial" w:hAnsi="Arial" w:cs="Arial"/>
          <w:sz w:val="20"/>
        </w:rPr>
        <w:fldChar w:fldCharType="begin"/>
      </w:r>
      <w:r w:rsidR="00A72A8E">
        <w:rPr>
          <w:rFonts w:ascii="Arial" w:hAnsi="Arial" w:cs="Arial"/>
          <w:sz w:val="20"/>
        </w:rPr>
        <w:instrText xml:space="preserve"> REF _Ref189809556 \r \h </w:instrText>
      </w:r>
      <w:r w:rsidR="00A72A8E">
        <w:rPr>
          <w:rFonts w:ascii="Arial" w:hAnsi="Arial" w:cs="Arial"/>
          <w:sz w:val="20"/>
        </w:rPr>
      </w:r>
      <w:r w:rsidR="00A72A8E">
        <w:rPr>
          <w:rFonts w:ascii="Arial" w:hAnsi="Arial" w:cs="Arial"/>
          <w:sz w:val="20"/>
        </w:rPr>
        <w:fldChar w:fldCharType="separate"/>
      </w:r>
      <w:r w:rsidR="00DD2571">
        <w:rPr>
          <w:rFonts w:ascii="Arial" w:hAnsi="Arial" w:cs="Arial"/>
          <w:sz w:val="20"/>
        </w:rPr>
        <w:t>[1]</w:t>
      </w:r>
      <w:r w:rsidR="00A72A8E">
        <w:rPr>
          <w:rFonts w:ascii="Arial" w:hAnsi="Arial" w:cs="Arial"/>
          <w:sz w:val="20"/>
        </w:rPr>
        <w:fldChar w:fldCharType="end"/>
      </w:r>
      <w:r w:rsidR="007F30D2">
        <w:rPr>
          <w:rFonts w:ascii="Arial" w:hAnsi="Arial" w:cs="Arial"/>
          <w:sz w:val="20"/>
        </w:rPr>
        <w:t>,</w:t>
      </w:r>
      <w:r w:rsidR="00A72A8E">
        <w:rPr>
          <w:rFonts w:ascii="Arial" w:hAnsi="Arial" w:cs="Arial"/>
          <w:sz w:val="20"/>
        </w:rPr>
        <w:t xml:space="preserve"> </w:t>
      </w:r>
      <w:r w:rsidRPr="007C2B1D">
        <w:rPr>
          <w:rFonts w:ascii="Arial" w:hAnsi="Arial" w:cs="Arial"/>
          <w:sz w:val="20"/>
        </w:rPr>
        <w:t>one of the objectives is to study</w:t>
      </w:r>
      <w:r w:rsidR="00186D0B">
        <w:rPr>
          <w:rFonts w:ascii="Arial" w:hAnsi="Arial" w:cs="Arial"/>
          <w:sz w:val="20"/>
        </w:rPr>
        <w:t xml:space="preserve"> aspects of LTE-MTC coexistence with</w:t>
      </w:r>
      <w:r w:rsidRPr="007C2B1D">
        <w:rPr>
          <w:rFonts w:ascii="Arial" w:hAnsi="Arial" w:cs="Arial"/>
          <w:sz w:val="20"/>
        </w:rPr>
        <w:t xml:space="preserve"> NR.</w:t>
      </w:r>
    </w:p>
    <w:tbl>
      <w:tblPr>
        <w:tblStyle w:val="TableGrid"/>
        <w:tblW w:w="0" w:type="auto"/>
        <w:tblLook w:val="04A0" w:firstRow="1" w:lastRow="0" w:firstColumn="1" w:lastColumn="0" w:noHBand="0" w:noVBand="1"/>
      </w:tblPr>
      <w:tblGrid>
        <w:gridCol w:w="9629"/>
      </w:tblGrid>
      <w:tr w:rsidR="005E3AB9" w14:paraId="156963A3" w14:textId="77777777" w:rsidTr="005E3AB9">
        <w:tc>
          <w:tcPr>
            <w:tcW w:w="9629" w:type="dxa"/>
          </w:tcPr>
          <w:p w14:paraId="072018E5" w14:textId="77777777" w:rsidR="005E3AB9" w:rsidRPr="00B954A0" w:rsidRDefault="005E3AB9" w:rsidP="005E3AB9">
            <w:pPr>
              <w:overflowPunct w:val="0"/>
              <w:autoSpaceDE w:val="0"/>
              <w:autoSpaceDN w:val="0"/>
              <w:adjustRightInd w:val="0"/>
              <w:spacing w:after="0" w:line="240" w:lineRule="auto"/>
              <w:rPr>
                <w:rFonts w:ascii="Times New Roman" w:eastAsia="Times New Roman" w:hAnsi="Times New Roman" w:cs="Times New Roman"/>
                <w:b/>
                <w:bCs/>
                <w:sz w:val="20"/>
                <w:szCs w:val="20"/>
                <w:lang w:val="en-GB"/>
              </w:rPr>
            </w:pPr>
            <w:r w:rsidRPr="00B954A0">
              <w:rPr>
                <w:rFonts w:ascii="Times New Roman" w:eastAsia="Times New Roman" w:hAnsi="Times New Roman" w:cs="Times New Roman"/>
                <w:b/>
                <w:bCs/>
                <w:sz w:val="20"/>
                <w:szCs w:val="20"/>
                <w:lang w:val="en-GB"/>
              </w:rPr>
              <w:t>Coexistence with NR:</w:t>
            </w:r>
          </w:p>
          <w:p w14:paraId="7567B0E7" w14:textId="77777777" w:rsidR="005E3AB9" w:rsidRPr="00B954A0" w:rsidRDefault="005E3AB9" w:rsidP="005E3AB9">
            <w:pPr>
              <w:numPr>
                <w:ilvl w:val="0"/>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Study aspects of LTE-MTC coexistence with NR [RAN4, RAN1, RAN2]</w:t>
            </w:r>
          </w:p>
          <w:p w14:paraId="25FA7219" w14:textId="77777777" w:rsidR="005E3AB9" w:rsidRPr="00B954A0" w:rsidRDefault="005E3AB9" w:rsidP="005E3AB9">
            <w:pPr>
              <w:numPr>
                <w:ilvl w:val="0"/>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For LTE-MTC in-band operation co-existence with NR, RAN4 will investigate the following:</w:t>
            </w:r>
          </w:p>
          <w:p w14:paraId="13F7FD61"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15 kHz, 30 kHz, and 60 kHz numerologies for NR FR1 bands, with higher priority given first to 15 kHz and then to 30 kHz</w:t>
            </w:r>
          </w:p>
          <w:p w14:paraId="2BC032FA"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Study feasible LTE-MTC placement allocation without RF backward compatibility impact and compatible with Rel-13 LTE-MTC and Rel-15 NR, to operate simultaneously within various NR channel bandwidths</w:t>
            </w:r>
          </w:p>
          <w:p w14:paraId="07707844"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Channel raster, PRB and subcarrier grid alignment between LTE-MTC and NR</w:t>
            </w:r>
          </w:p>
          <w:p w14:paraId="00C27B35"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Synchronization issue between LTE-MTC and NR, including timing advance</w:t>
            </w:r>
          </w:p>
          <w:p w14:paraId="3FFD6410"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Frequency band support in LTE-MTC and NR</w:t>
            </w:r>
          </w:p>
          <w:p w14:paraId="76F4A269"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Testability applicability</w:t>
            </w:r>
          </w:p>
          <w:p w14:paraId="22079154"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Compatibility for Rel-15 NR and Rel-13/14/15 LTE-MTC</w:t>
            </w:r>
          </w:p>
          <w:p w14:paraId="175F0EAC" w14:textId="77777777" w:rsidR="005E3AB9" w:rsidRPr="00B954A0" w:rsidRDefault="005E3AB9" w:rsidP="005E3AB9">
            <w:pPr>
              <w:numPr>
                <w:ilvl w:val="1"/>
                <w:numId w:val="44"/>
              </w:num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The case of NR configured with 15 kHz SS block SCS and the case of 30 kHz SS block SCS as specified in 38.101-1 are included in the study.</w:t>
            </w:r>
          </w:p>
          <w:p w14:paraId="4785FEAB" w14:textId="77777777" w:rsidR="005E3AB9" w:rsidRDefault="005E3AB9" w:rsidP="005E3AB9">
            <w:pPr>
              <w:overflowPunct w:val="0"/>
              <w:autoSpaceDE w:val="0"/>
              <w:autoSpaceDN w:val="0"/>
              <w:adjustRightInd w:val="0"/>
              <w:spacing w:after="0" w:line="240" w:lineRule="auto"/>
              <w:ind w:left="720"/>
              <w:rPr>
                <w:rFonts w:ascii="Times New Roman" w:eastAsia="Times New Roman" w:hAnsi="Times New Roman" w:cs="Times New Roman"/>
                <w:bCs/>
                <w:sz w:val="20"/>
                <w:szCs w:val="20"/>
                <w:lang w:val="en-GB"/>
              </w:rPr>
            </w:pPr>
            <w:r w:rsidRPr="00B954A0">
              <w:rPr>
                <w:rFonts w:ascii="Times New Roman" w:eastAsia="Times New Roman" w:hAnsi="Times New Roman" w:cs="Times New Roman"/>
                <w:bCs/>
                <w:sz w:val="20"/>
                <w:szCs w:val="20"/>
                <w:lang w:val="en-GB"/>
              </w:rPr>
              <w:t>Note: After RAN1 concludes the objective on R16 LTE-MTC coexistence aspects, evaluate coexistence between R15 NR and R16 LTE-MTC.</w:t>
            </w:r>
          </w:p>
          <w:p w14:paraId="723FD208" w14:textId="098B7EA4" w:rsidR="005E3AB9" w:rsidRPr="005E3AB9" w:rsidRDefault="005E3AB9" w:rsidP="005E3AB9">
            <w:pPr>
              <w:overflowPunct w:val="0"/>
              <w:autoSpaceDE w:val="0"/>
              <w:autoSpaceDN w:val="0"/>
              <w:adjustRightInd w:val="0"/>
              <w:spacing w:after="0" w:line="240" w:lineRule="auto"/>
              <w:rPr>
                <w:rFonts w:ascii="Times New Roman" w:eastAsia="Times New Roman" w:hAnsi="Times New Roman" w:cs="Times New Roman"/>
                <w:bCs/>
                <w:sz w:val="20"/>
                <w:szCs w:val="20"/>
                <w:lang w:val="en-GB"/>
              </w:rPr>
            </w:pPr>
          </w:p>
        </w:tc>
      </w:tr>
    </w:tbl>
    <w:p w14:paraId="27215C9E" w14:textId="77777777" w:rsidR="00B954A0" w:rsidRPr="007C2B1D" w:rsidRDefault="00B954A0" w:rsidP="008903C6">
      <w:pPr>
        <w:pStyle w:val="BodyText"/>
        <w:rPr>
          <w:rFonts w:ascii="Arial" w:hAnsi="Arial" w:cs="Arial"/>
          <w:sz w:val="20"/>
        </w:rPr>
      </w:pPr>
    </w:p>
    <w:p w14:paraId="1FBC3760" w14:textId="6EFBEBA7" w:rsidR="00AD0CF0" w:rsidRDefault="00531537" w:rsidP="008903C6">
      <w:pPr>
        <w:pStyle w:val="BodyText"/>
        <w:rPr>
          <w:rFonts w:ascii="Arial" w:hAnsi="Arial" w:cs="Arial"/>
          <w:sz w:val="20"/>
          <w:szCs w:val="20"/>
        </w:rPr>
      </w:pPr>
      <w:r w:rsidRPr="007C2B1D">
        <w:rPr>
          <w:rFonts w:ascii="Arial" w:hAnsi="Arial" w:cs="Arial"/>
          <w:sz w:val="20"/>
          <w:szCs w:val="20"/>
        </w:rPr>
        <w:t xml:space="preserve">This </w:t>
      </w:r>
      <w:r w:rsidR="003852F0" w:rsidRPr="007C2B1D">
        <w:rPr>
          <w:rFonts w:ascii="Arial" w:hAnsi="Arial" w:cs="Arial"/>
          <w:sz w:val="20"/>
          <w:szCs w:val="20"/>
        </w:rPr>
        <w:t xml:space="preserve">document </w:t>
      </w:r>
      <w:r w:rsidR="00F7216C">
        <w:rPr>
          <w:rFonts w:ascii="Arial" w:hAnsi="Arial" w:cs="Arial"/>
          <w:sz w:val="20"/>
          <w:szCs w:val="20"/>
        </w:rPr>
        <w:t xml:space="preserve">provides </w:t>
      </w:r>
      <w:r w:rsidR="00041DF6">
        <w:rPr>
          <w:rFonts w:ascii="Arial" w:hAnsi="Arial" w:cs="Arial"/>
          <w:sz w:val="20"/>
          <w:szCs w:val="20"/>
        </w:rPr>
        <w:t xml:space="preserve">a summary </w:t>
      </w:r>
      <w:r w:rsidR="00F7216C">
        <w:rPr>
          <w:rFonts w:ascii="Arial" w:hAnsi="Arial" w:cs="Arial"/>
          <w:sz w:val="20"/>
          <w:szCs w:val="20"/>
        </w:rPr>
        <w:t xml:space="preserve">and recommendations based on </w:t>
      </w:r>
      <w:r w:rsidR="00041DF6">
        <w:rPr>
          <w:rFonts w:ascii="Arial" w:hAnsi="Arial" w:cs="Arial"/>
          <w:sz w:val="20"/>
          <w:szCs w:val="20"/>
        </w:rPr>
        <w:t xml:space="preserve">contributions in </w:t>
      </w:r>
      <w:bookmarkStart w:id="1" w:name="_Ref178064866"/>
      <w:bookmarkStart w:id="2" w:name="_In-sequence_SDU_delivery"/>
      <w:bookmarkEnd w:id="1"/>
      <w:bookmarkEnd w:id="2"/>
      <w:r w:rsidR="00F9591A">
        <w:rPr>
          <w:rFonts w:ascii="Arial" w:hAnsi="Arial" w:cs="Arial"/>
          <w:sz w:val="20"/>
          <w:szCs w:val="20"/>
        </w:rPr>
        <w:fldChar w:fldCharType="begin"/>
      </w:r>
      <w:r w:rsidR="00F9591A">
        <w:rPr>
          <w:rFonts w:ascii="Arial" w:hAnsi="Arial" w:cs="Arial"/>
          <w:sz w:val="20"/>
          <w:szCs w:val="20"/>
        </w:rPr>
        <w:instrText xml:space="preserve"> REF _Ref529801413 \r \h </w:instrText>
      </w:r>
      <w:r w:rsidR="00F9591A">
        <w:rPr>
          <w:rFonts w:ascii="Arial" w:hAnsi="Arial" w:cs="Arial"/>
          <w:sz w:val="20"/>
          <w:szCs w:val="20"/>
        </w:rPr>
      </w:r>
      <w:r w:rsidR="00F9591A">
        <w:rPr>
          <w:rFonts w:ascii="Arial" w:hAnsi="Arial" w:cs="Arial"/>
          <w:sz w:val="20"/>
          <w:szCs w:val="20"/>
        </w:rPr>
        <w:fldChar w:fldCharType="separate"/>
      </w:r>
      <w:r w:rsidR="00DD2571">
        <w:rPr>
          <w:rFonts w:ascii="Arial" w:hAnsi="Arial" w:cs="Arial"/>
          <w:sz w:val="20"/>
          <w:szCs w:val="20"/>
        </w:rPr>
        <w:t>[2]</w:t>
      </w:r>
      <w:r w:rsidR="00F9591A">
        <w:rPr>
          <w:rFonts w:ascii="Arial" w:hAnsi="Arial" w:cs="Arial"/>
          <w:sz w:val="20"/>
          <w:szCs w:val="20"/>
        </w:rPr>
        <w:fldChar w:fldCharType="end"/>
      </w:r>
      <w:r w:rsidR="00F9591A">
        <w:rPr>
          <w:rFonts w:ascii="Arial" w:hAnsi="Arial" w:cs="Arial"/>
          <w:sz w:val="20"/>
          <w:szCs w:val="20"/>
        </w:rPr>
        <w:t>-</w:t>
      </w:r>
      <w:r w:rsidR="00041DF6">
        <w:rPr>
          <w:rFonts w:ascii="Arial" w:hAnsi="Arial" w:cs="Arial"/>
          <w:sz w:val="20"/>
          <w:szCs w:val="20"/>
        </w:rPr>
        <w:fldChar w:fldCharType="begin"/>
      </w:r>
      <w:r w:rsidR="00041DF6">
        <w:rPr>
          <w:rFonts w:ascii="Arial" w:hAnsi="Arial" w:cs="Arial"/>
          <w:sz w:val="20"/>
          <w:szCs w:val="20"/>
        </w:rPr>
        <w:instrText xml:space="preserve"> REF _Ref5044500 \r \h </w:instrText>
      </w:r>
      <w:r w:rsidR="00041DF6">
        <w:rPr>
          <w:rFonts w:ascii="Arial" w:hAnsi="Arial" w:cs="Arial"/>
          <w:sz w:val="20"/>
          <w:szCs w:val="20"/>
        </w:rPr>
      </w:r>
      <w:r w:rsidR="00041DF6">
        <w:rPr>
          <w:rFonts w:ascii="Arial" w:hAnsi="Arial" w:cs="Arial"/>
          <w:sz w:val="20"/>
          <w:szCs w:val="20"/>
        </w:rPr>
        <w:fldChar w:fldCharType="separate"/>
      </w:r>
      <w:r w:rsidR="00DD2571">
        <w:rPr>
          <w:rFonts w:ascii="Arial" w:hAnsi="Arial" w:cs="Arial"/>
          <w:sz w:val="20"/>
          <w:szCs w:val="20"/>
        </w:rPr>
        <w:t>[5]</w:t>
      </w:r>
      <w:r w:rsidR="00041DF6">
        <w:rPr>
          <w:rFonts w:ascii="Arial" w:hAnsi="Arial" w:cs="Arial"/>
          <w:sz w:val="20"/>
          <w:szCs w:val="20"/>
        </w:rPr>
        <w:fldChar w:fldCharType="end"/>
      </w:r>
      <w:r w:rsidR="00F9591A">
        <w:rPr>
          <w:rFonts w:ascii="Arial" w:hAnsi="Arial" w:cs="Arial"/>
          <w:sz w:val="20"/>
          <w:szCs w:val="20"/>
        </w:rPr>
        <w:t>.</w:t>
      </w:r>
      <w:r w:rsidR="00AD0CF0">
        <w:rPr>
          <w:rFonts w:ascii="Arial" w:hAnsi="Arial" w:cs="Arial"/>
          <w:sz w:val="20"/>
          <w:szCs w:val="20"/>
        </w:rPr>
        <w:t xml:space="preserve"> Earlier RAN1 agreements are listed in the end of this document.</w:t>
      </w:r>
    </w:p>
    <w:p w14:paraId="5EA82E01" w14:textId="40735E2D" w:rsidR="00C90779" w:rsidRDefault="00C90779">
      <w:pPr>
        <w:spacing w:after="0" w:line="240" w:lineRule="auto"/>
        <w:rPr>
          <w:rFonts w:ascii="Arial" w:hAnsi="Arial" w:cs="Arial"/>
          <w:sz w:val="20"/>
          <w:szCs w:val="20"/>
        </w:rPr>
      </w:pPr>
    </w:p>
    <w:p w14:paraId="68431D7C" w14:textId="70C2050D" w:rsidR="007A41DE" w:rsidRDefault="00364032" w:rsidP="007A41DE">
      <w:pPr>
        <w:pStyle w:val="Heading1"/>
      </w:pPr>
      <w:r>
        <w:t>Improved r</w:t>
      </w:r>
      <w:r w:rsidR="00AB7269">
        <w:t>esource</w:t>
      </w:r>
      <w:r w:rsidR="007A41DE">
        <w:t xml:space="preserve"> block alignment</w:t>
      </w:r>
    </w:p>
    <w:p w14:paraId="241080C8" w14:textId="739BD49F" w:rsidR="00526E13" w:rsidRPr="007C2B1D" w:rsidRDefault="00526E13" w:rsidP="00526E13">
      <w:pPr>
        <w:pStyle w:val="BodyText"/>
        <w:rPr>
          <w:rFonts w:ascii="Arial" w:hAnsi="Arial" w:cs="Arial"/>
          <w:sz w:val="20"/>
        </w:rPr>
      </w:pPr>
      <w:r>
        <w:rPr>
          <w:rFonts w:ascii="Arial" w:hAnsi="Arial" w:cs="Arial"/>
          <w:sz w:val="20"/>
        </w:rPr>
        <w:t xml:space="preserve">RAN1#96bis </w:t>
      </w:r>
      <w:r w:rsidRPr="007C2B1D">
        <w:rPr>
          <w:rFonts w:ascii="Arial" w:hAnsi="Arial" w:cs="Arial"/>
          <w:sz w:val="20"/>
        </w:rPr>
        <w:t>made the following</w:t>
      </w:r>
      <w:r>
        <w:rPr>
          <w:rFonts w:ascii="Arial" w:hAnsi="Arial" w:cs="Arial"/>
          <w:sz w:val="20"/>
        </w:rPr>
        <w:t xml:space="preserve"> agreement regarding improved resource block alignment:</w:t>
      </w:r>
    </w:p>
    <w:tbl>
      <w:tblPr>
        <w:tblStyle w:val="TableGrid"/>
        <w:tblW w:w="0" w:type="auto"/>
        <w:tblLook w:val="04A0" w:firstRow="1" w:lastRow="0" w:firstColumn="1" w:lastColumn="0" w:noHBand="0" w:noVBand="1"/>
      </w:tblPr>
      <w:tblGrid>
        <w:gridCol w:w="9629"/>
      </w:tblGrid>
      <w:tr w:rsidR="00526E13" w14:paraId="7C28A67E" w14:textId="77777777" w:rsidTr="000937A5">
        <w:tc>
          <w:tcPr>
            <w:tcW w:w="9629" w:type="dxa"/>
          </w:tcPr>
          <w:p w14:paraId="32981D0D" w14:textId="77777777" w:rsidR="00BA1D89" w:rsidRPr="00B31367" w:rsidRDefault="00BA1D89" w:rsidP="00BA1D89">
            <w:pPr>
              <w:spacing w:after="0" w:line="240" w:lineRule="auto"/>
              <w:ind w:left="720" w:hanging="720"/>
              <w:rPr>
                <w:rFonts w:ascii="Times" w:eastAsia="Batang" w:hAnsi="Times" w:cs="Times New Roman"/>
                <w:b/>
                <w:sz w:val="20"/>
                <w:szCs w:val="24"/>
                <w:lang w:val="en-GB" w:eastAsia="x-none"/>
              </w:rPr>
            </w:pPr>
            <w:r w:rsidRPr="00B31367">
              <w:rPr>
                <w:rFonts w:ascii="Times" w:eastAsia="Batang" w:hAnsi="Times" w:cs="Times New Roman"/>
                <w:b/>
                <w:sz w:val="20"/>
                <w:szCs w:val="24"/>
                <w:lang w:val="en-GB" w:eastAsia="x-none"/>
              </w:rPr>
              <w:t>For further study until RAN1#97</w:t>
            </w:r>
          </w:p>
          <w:p w14:paraId="109F51D2" w14:textId="77777777" w:rsidR="00BA1D89" w:rsidRPr="00B31367" w:rsidRDefault="00BA1D89" w:rsidP="00BA1D89">
            <w:pPr>
              <w:numPr>
                <w:ilvl w:val="0"/>
                <w:numId w:val="29"/>
              </w:numPr>
              <w:spacing w:after="0" w:line="240" w:lineRule="auto"/>
              <w:rPr>
                <w:rFonts w:ascii="Times New Roman" w:eastAsia="Times New Roman" w:hAnsi="Times New Roman" w:cs="Times New Roman"/>
                <w:sz w:val="20"/>
                <w:szCs w:val="20"/>
                <w:lang w:val="en-GB"/>
              </w:rPr>
            </w:pPr>
            <w:r w:rsidRPr="00B31367">
              <w:rPr>
                <w:rFonts w:ascii="Times New Roman" w:eastAsia="Times New Roman" w:hAnsi="Times New Roman" w:cs="Times New Roman"/>
                <w:sz w:val="20"/>
                <w:szCs w:val="20"/>
                <w:lang w:val="en-GB"/>
              </w:rPr>
              <w:t>RAN1 continues to study puncturing and/or rate-matching of outlying LTE-MTC subcarriers for performance improvement of resource block alignment between LTE-MTC and NR until RAN1#97.</w:t>
            </w:r>
          </w:p>
          <w:p w14:paraId="4B128D73" w14:textId="77777777" w:rsidR="00BA1D89" w:rsidRPr="00B31367" w:rsidRDefault="00BA1D89" w:rsidP="00BA1D89">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eastAsia="zh-CN"/>
              </w:rPr>
              <w:t>Assume truncation of 1, 4 or 5 LTE-MTC DL subcarriers in case of an even total number of NR RBs and 2, 3 or 6 LTE-MTC DL subcarriers in case of an odd total number of NR RBs.</w:t>
            </w:r>
          </w:p>
          <w:p w14:paraId="21C95C68" w14:textId="77777777" w:rsidR="00BA1D89" w:rsidRPr="00B31367" w:rsidRDefault="00BA1D89" w:rsidP="00BA1D89">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eastAsia="zh-CN"/>
              </w:rPr>
              <w:t>Consider truncation of outlying LTE-MTC DL subcarriers without the (legacy) UE being aware of the puncturing as a reference case.</w:t>
            </w:r>
          </w:p>
          <w:p w14:paraId="44EABD46" w14:textId="77777777" w:rsidR="00BA1D89" w:rsidRPr="00B31367" w:rsidRDefault="00BA1D89" w:rsidP="00BA1D89">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0"/>
                <w:lang w:val="en-GB"/>
              </w:rPr>
              <w:t>Assume that no new transmission scheme (for example, single tone transmission) is introduced after the outlying subcarrier is punctured or rate-matched around.</w:t>
            </w:r>
          </w:p>
          <w:p w14:paraId="7C6C08CF" w14:textId="77777777" w:rsidR="00BA1D89" w:rsidRPr="00B31367" w:rsidRDefault="00BA1D89" w:rsidP="00BA1D89">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 xml:space="preserve">Assume that CRS is not </w:t>
            </w:r>
            <w:r w:rsidRPr="00B31367">
              <w:rPr>
                <w:rFonts w:ascii="Times New Roman" w:eastAsia="Batang" w:hAnsi="Times New Roman" w:cs="Times New Roman"/>
                <w:sz w:val="20"/>
                <w:szCs w:val="24"/>
                <w:lang w:val="en-GB" w:eastAsia="zh-CN"/>
              </w:rPr>
              <w:t>truncated</w:t>
            </w:r>
            <w:r w:rsidRPr="00B31367">
              <w:rPr>
                <w:rFonts w:ascii="Times New Roman" w:eastAsia="Batang" w:hAnsi="Times New Roman" w:cs="Times New Roman"/>
                <w:sz w:val="20"/>
                <w:szCs w:val="24"/>
                <w:lang w:val="en-GB"/>
              </w:rPr>
              <w:t>.</w:t>
            </w:r>
          </w:p>
          <w:p w14:paraId="579AD9FE" w14:textId="77777777" w:rsidR="00BA1D89" w:rsidRPr="00B31367" w:rsidRDefault="00BA1D89" w:rsidP="00BA1D89">
            <w:pPr>
              <w:numPr>
                <w:ilvl w:val="2"/>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lastRenderedPageBreak/>
              <w:t>FFS: DMRS</w:t>
            </w:r>
          </w:p>
          <w:p w14:paraId="6AA9DB95" w14:textId="77777777" w:rsidR="00BA1D89" w:rsidRPr="00B31367" w:rsidRDefault="00BA1D89" w:rsidP="00BA1D89">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Consider both DL and UL aspects including</w:t>
            </w:r>
          </w:p>
          <w:p w14:paraId="1159DC11" w14:textId="77777777" w:rsidR="00BA1D89" w:rsidRPr="00B31367" w:rsidRDefault="00BA1D89" w:rsidP="00BA1D89">
            <w:pPr>
              <w:numPr>
                <w:ilvl w:val="2"/>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PDSCH, PUSCH, MPDCCH, PUCCH</w:t>
            </w:r>
          </w:p>
          <w:p w14:paraId="7DB74D97" w14:textId="72D27825" w:rsidR="00526E13" w:rsidRPr="0081663E" w:rsidRDefault="00526E13" w:rsidP="00526E13">
            <w:pPr>
              <w:spacing w:after="0" w:line="240" w:lineRule="auto"/>
              <w:rPr>
                <w:rFonts w:ascii="Times New Roman" w:eastAsia="Batang" w:hAnsi="Times New Roman" w:cs="Times New Roman"/>
                <w:sz w:val="20"/>
                <w:szCs w:val="24"/>
                <w:lang w:val="en-GB"/>
              </w:rPr>
            </w:pPr>
          </w:p>
        </w:tc>
      </w:tr>
    </w:tbl>
    <w:p w14:paraId="3E882DBA" w14:textId="77777777" w:rsidR="00526E13" w:rsidRPr="0081663E" w:rsidRDefault="00526E13" w:rsidP="00526E13">
      <w:pPr>
        <w:rPr>
          <w:lang w:val="en-GB" w:eastAsia="zh-CN"/>
        </w:rPr>
      </w:pPr>
    </w:p>
    <w:p w14:paraId="5E0FB92D" w14:textId="340BE6D7" w:rsidR="00F60A59" w:rsidRDefault="00F60A59" w:rsidP="00F60A59">
      <w:pPr>
        <w:pStyle w:val="Heading2"/>
      </w:pPr>
      <w:r>
        <w:t xml:space="preserve">Conclusion on </w:t>
      </w:r>
      <w:r w:rsidR="00EC5D84">
        <w:t>LTE-M subcarrier truncation</w:t>
      </w:r>
    </w:p>
    <w:p w14:paraId="228E63E4" w14:textId="32FFAA27" w:rsidR="00C34289" w:rsidRDefault="009D5A82" w:rsidP="005745AE">
      <w:pPr>
        <w:pStyle w:val="BodyText"/>
        <w:rPr>
          <w:rFonts w:ascii="Arial" w:hAnsi="Arial" w:cs="Arial"/>
          <w:sz w:val="20"/>
        </w:rPr>
      </w:pPr>
      <w:r>
        <w:rPr>
          <w:rFonts w:ascii="Arial" w:hAnsi="Arial" w:cs="Arial"/>
          <w:sz w:val="20"/>
        </w:rPr>
        <w:t xml:space="preserve">The contributions listed in the table below </w:t>
      </w:r>
      <w:r w:rsidR="00583CE8">
        <w:rPr>
          <w:rFonts w:ascii="Arial" w:hAnsi="Arial" w:cs="Arial"/>
          <w:sz w:val="20"/>
        </w:rPr>
        <w:t xml:space="preserve">discuss </w:t>
      </w:r>
      <w:r w:rsidR="00686555">
        <w:rPr>
          <w:rFonts w:ascii="Arial" w:hAnsi="Arial" w:cs="Arial"/>
          <w:sz w:val="20"/>
        </w:rPr>
        <w:t>potential truncation</w:t>
      </w:r>
      <w:r w:rsidR="00583CE8">
        <w:rPr>
          <w:rFonts w:ascii="Arial" w:hAnsi="Arial" w:cs="Arial"/>
          <w:sz w:val="20"/>
        </w:rPr>
        <w:t xml:space="preserve"> of outlying </w:t>
      </w:r>
      <w:r w:rsidR="00686555">
        <w:rPr>
          <w:rFonts w:ascii="Arial" w:hAnsi="Arial" w:cs="Arial"/>
          <w:sz w:val="20"/>
        </w:rPr>
        <w:t xml:space="preserve">LTE-M </w:t>
      </w:r>
      <w:r w:rsidR="00583CE8">
        <w:rPr>
          <w:rFonts w:ascii="Arial" w:hAnsi="Arial" w:cs="Arial"/>
          <w:sz w:val="20"/>
        </w:rPr>
        <w:t>subcarriers through puncturing or rate-matching.</w:t>
      </w:r>
      <w:r w:rsidR="00EF2074">
        <w:rPr>
          <w:rFonts w:ascii="Arial" w:hAnsi="Arial" w:cs="Arial"/>
          <w:sz w:val="20"/>
        </w:rPr>
        <w:t xml:space="preserve"> The potential gains have been described in earlier contributions summarized in </w:t>
      </w:r>
      <w:r w:rsidR="00EF2074">
        <w:rPr>
          <w:rFonts w:ascii="Arial" w:hAnsi="Arial" w:cs="Arial"/>
          <w:sz w:val="20"/>
        </w:rPr>
        <w:fldChar w:fldCharType="begin"/>
      </w:r>
      <w:r w:rsidR="00EF2074">
        <w:rPr>
          <w:rFonts w:ascii="Arial" w:hAnsi="Arial" w:cs="Arial"/>
          <w:sz w:val="20"/>
        </w:rPr>
        <w:instrText xml:space="preserve"> REF _Ref8607434 \r \h </w:instrText>
      </w:r>
      <w:r w:rsidR="00EF2074">
        <w:rPr>
          <w:rFonts w:ascii="Arial" w:hAnsi="Arial" w:cs="Arial"/>
          <w:sz w:val="20"/>
        </w:rPr>
      </w:r>
      <w:r w:rsidR="00EF2074">
        <w:rPr>
          <w:rFonts w:ascii="Arial" w:hAnsi="Arial" w:cs="Arial"/>
          <w:sz w:val="20"/>
        </w:rPr>
        <w:fldChar w:fldCharType="separate"/>
      </w:r>
      <w:r w:rsidR="00DD2571">
        <w:rPr>
          <w:rFonts w:ascii="Arial" w:hAnsi="Arial" w:cs="Arial"/>
          <w:sz w:val="20"/>
        </w:rPr>
        <w:t>[8]</w:t>
      </w:r>
      <w:r w:rsidR="00EF2074">
        <w:rPr>
          <w:rFonts w:ascii="Arial" w:hAnsi="Arial" w:cs="Arial"/>
          <w:sz w:val="20"/>
        </w:rPr>
        <w:fldChar w:fldCharType="end"/>
      </w:r>
      <w:r w:rsidR="00EF2074">
        <w:rPr>
          <w:rFonts w:ascii="Arial" w:hAnsi="Arial" w:cs="Arial"/>
          <w:sz w:val="20"/>
        </w:rPr>
        <w:t>-</w:t>
      </w:r>
      <w:r w:rsidR="00EF2074">
        <w:rPr>
          <w:rFonts w:ascii="Arial" w:hAnsi="Arial" w:cs="Arial"/>
          <w:sz w:val="20"/>
        </w:rPr>
        <w:fldChar w:fldCharType="begin"/>
      </w:r>
      <w:r w:rsidR="00EF2074">
        <w:rPr>
          <w:rFonts w:ascii="Arial" w:hAnsi="Arial" w:cs="Arial"/>
          <w:sz w:val="20"/>
        </w:rPr>
        <w:instrText xml:space="preserve"> REF _Ref8607437 \r \h </w:instrText>
      </w:r>
      <w:r w:rsidR="00EF2074">
        <w:rPr>
          <w:rFonts w:ascii="Arial" w:hAnsi="Arial" w:cs="Arial"/>
          <w:sz w:val="20"/>
        </w:rPr>
      </w:r>
      <w:r w:rsidR="00EF2074">
        <w:rPr>
          <w:rFonts w:ascii="Arial" w:hAnsi="Arial" w:cs="Arial"/>
          <w:sz w:val="20"/>
        </w:rPr>
        <w:fldChar w:fldCharType="separate"/>
      </w:r>
      <w:r w:rsidR="00DD2571">
        <w:rPr>
          <w:rFonts w:ascii="Arial" w:hAnsi="Arial" w:cs="Arial"/>
          <w:sz w:val="20"/>
        </w:rPr>
        <w:t>[12]</w:t>
      </w:r>
      <w:r w:rsidR="00EF2074">
        <w:rPr>
          <w:rFonts w:ascii="Arial" w:hAnsi="Arial" w:cs="Arial"/>
          <w:sz w:val="20"/>
        </w:rPr>
        <w:fldChar w:fldCharType="end"/>
      </w:r>
      <w:r w:rsidR="00EF2074">
        <w:rPr>
          <w:rFonts w:ascii="Arial" w:hAnsi="Arial" w:cs="Arial"/>
          <w:sz w:val="20"/>
        </w:rPr>
        <w:t>.</w:t>
      </w:r>
    </w:p>
    <w:p w14:paraId="272F6B54" w14:textId="77777777" w:rsidR="00F94E81" w:rsidRPr="000345B6" w:rsidRDefault="00F94E81" w:rsidP="00F94E81">
      <w:pPr>
        <w:pStyle w:val="BodyText"/>
        <w:rPr>
          <w:rFonts w:ascii="Arial" w:hAnsi="Arial" w:cs="Arial"/>
          <w:sz w:val="20"/>
          <w:highlight w:val="yellow"/>
        </w:rPr>
      </w:pPr>
      <w:r w:rsidRPr="000345B6">
        <w:rPr>
          <w:rFonts w:ascii="Arial" w:hAnsi="Arial" w:cs="Arial"/>
          <w:sz w:val="20"/>
          <w:highlight w:val="yellow"/>
        </w:rPr>
        <w:t>Feature lead recommendation:</w:t>
      </w:r>
    </w:p>
    <w:p w14:paraId="7271EB75" w14:textId="49798FD4" w:rsidR="00264DC2" w:rsidRDefault="00264DC2" w:rsidP="00264DC2">
      <w:pPr>
        <w:pStyle w:val="BodyText"/>
        <w:numPr>
          <w:ilvl w:val="0"/>
          <w:numId w:val="29"/>
        </w:numPr>
        <w:rPr>
          <w:rFonts w:ascii="Arial" w:hAnsi="Arial" w:cs="Arial"/>
          <w:sz w:val="20"/>
        </w:rPr>
      </w:pPr>
      <w:r>
        <w:rPr>
          <w:rFonts w:ascii="Arial" w:hAnsi="Arial" w:cs="Arial"/>
          <w:sz w:val="20"/>
        </w:rPr>
        <w:t>RAN1 discusses whether truncation of outlying LTE-M UL subcarriers should be considered further in Rel-16.</w:t>
      </w:r>
    </w:p>
    <w:p w14:paraId="40F50CB2" w14:textId="621D6AD5" w:rsidR="00FF417B" w:rsidRDefault="00743627" w:rsidP="00FF417B">
      <w:pPr>
        <w:pStyle w:val="BodyText"/>
        <w:numPr>
          <w:ilvl w:val="0"/>
          <w:numId w:val="29"/>
        </w:numPr>
        <w:rPr>
          <w:rFonts w:ascii="Arial" w:hAnsi="Arial" w:cs="Arial"/>
          <w:sz w:val="20"/>
        </w:rPr>
      </w:pPr>
      <w:r>
        <w:rPr>
          <w:rFonts w:ascii="Arial" w:hAnsi="Arial" w:cs="Arial"/>
          <w:sz w:val="20"/>
        </w:rPr>
        <w:t>RAN1 concludes that truncation of outlying LTE-M subcarriers at least in DL is beneficial for improving the coexistence with NR</w:t>
      </w:r>
      <w:r w:rsidR="00FF417B">
        <w:rPr>
          <w:rFonts w:ascii="Arial" w:hAnsi="Arial" w:cs="Arial"/>
          <w:sz w:val="20"/>
        </w:rPr>
        <w:t>.</w:t>
      </w:r>
    </w:p>
    <w:p w14:paraId="75FC807F" w14:textId="0BC260EC" w:rsidR="00264DC2" w:rsidRDefault="00264DC2" w:rsidP="000937A5">
      <w:pPr>
        <w:pStyle w:val="BodyText"/>
        <w:numPr>
          <w:ilvl w:val="0"/>
          <w:numId w:val="29"/>
        </w:numPr>
        <w:rPr>
          <w:rFonts w:ascii="Arial" w:hAnsi="Arial" w:cs="Arial"/>
          <w:sz w:val="20"/>
        </w:rPr>
      </w:pPr>
      <w:r>
        <w:rPr>
          <w:rFonts w:ascii="Arial" w:hAnsi="Arial" w:cs="Arial"/>
          <w:sz w:val="20"/>
        </w:rPr>
        <w:t>Include RAN1 conclusion</w:t>
      </w:r>
      <w:r w:rsidR="005406E6">
        <w:rPr>
          <w:rFonts w:ascii="Arial" w:hAnsi="Arial" w:cs="Arial"/>
          <w:sz w:val="20"/>
        </w:rPr>
        <w:t>(s)</w:t>
      </w:r>
      <w:r>
        <w:rPr>
          <w:rFonts w:ascii="Arial" w:hAnsi="Arial" w:cs="Arial"/>
          <w:sz w:val="20"/>
        </w:rPr>
        <w:t xml:space="preserve"> in LS to RAN.</w:t>
      </w:r>
    </w:p>
    <w:tbl>
      <w:tblPr>
        <w:tblStyle w:val="TableGrid"/>
        <w:tblW w:w="0" w:type="auto"/>
        <w:tblLook w:val="04A0" w:firstRow="1" w:lastRow="0" w:firstColumn="1" w:lastColumn="0" w:noHBand="0" w:noVBand="1"/>
      </w:tblPr>
      <w:tblGrid>
        <w:gridCol w:w="2830"/>
        <w:gridCol w:w="6799"/>
      </w:tblGrid>
      <w:tr w:rsidR="002946A6" w:rsidRPr="008A1717" w14:paraId="3C87AE3D" w14:textId="77777777" w:rsidTr="00373131">
        <w:tc>
          <w:tcPr>
            <w:tcW w:w="2830" w:type="dxa"/>
          </w:tcPr>
          <w:p w14:paraId="3DEC86E7" w14:textId="6D7D31D1"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_Ref1595240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[2]</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Ericsson</w:t>
            </w:r>
          </w:p>
        </w:tc>
        <w:tc>
          <w:tcPr>
            <w:tcW w:w="6799" w:type="dxa"/>
          </w:tcPr>
          <w:p w14:paraId="4E06D80D" w14:textId="77777777" w:rsidR="0055116C" w:rsidRPr="0075188B" w:rsidRDefault="0055116C" w:rsidP="0055116C">
            <w:pPr>
              <w:rPr>
                <w:rFonts w:ascii="Times New Roman" w:hAnsi="Times New Roman" w:cs="Times New Roman"/>
                <w:sz w:val="20"/>
                <w:lang w:val="en-GB" w:eastAsia="zh-CN"/>
              </w:rPr>
            </w:pPr>
            <w:r w:rsidRPr="0075188B">
              <w:rPr>
                <w:rFonts w:ascii="Times New Roman" w:hAnsi="Times New Roman" w:cs="Times New Roman"/>
                <w:sz w:val="20"/>
                <w:lang w:val="en-GB" w:eastAsia="zh-CN"/>
              </w:rPr>
              <w:t>Observation: In UL scenario, PRB alignment between NR and LTE-M is possible when the total number of NR RBs is even.</w:t>
            </w:r>
          </w:p>
          <w:p w14:paraId="779B36B2" w14:textId="77777777" w:rsidR="0055116C" w:rsidRPr="0075188B" w:rsidRDefault="0055116C" w:rsidP="0055116C">
            <w:pPr>
              <w:rPr>
                <w:rFonts w:ascii="Times New Roman" w:hAnsi="Times New Roman" w:cs="Times New Roman"/>
                <w:sz w:val="20"/>
                <w:lang w:val="en-GB" w:eastAsia="zh-CN"/>
              </w:rPr>
            </w:pPr>
            <w:r w:rsidRPr="0075188B">
              <w:rPr>
                <w:rFonts w:ascii="Times New Roman" w:hAnsi="Times New Roman" w:cs="Times New Roman"/>
                <w:sz w:val="20"/>
                <w:lang w:val="en-GB" w:eastAsia="zh-CN"/>
              </w:rPr>
              <w:t>Observation: For odd number of NR RBs, full PRB alignment between NR and LTE-M is not possible in UL. The possible number of outlying LTE-M subcarriers in UL is 2 or 6.</w:t>
            </w:r>
          </w:p>
          <w:p w14:paraId="188E51EA" w14:textId="77777777" w:rsidR="0055116C" w:rsidRPr="0075188B" w:rsidRDefault="0055116C" w:rsidP="0055116C">
            <w:pPr>
              <w:rPr>
                <w:rFonts w:ascii="Times New Roman" w:hAnsi="Times New Roman" w:cs="Times New Roman"/>
                <w:sz w:val="20"/>
                <w:lang w:val="en-GB" w:eastAsia="zh-CN"/>
              </w:rPr>
            </w:pPr>
            <w:r w:rsidRPr="0075188B">
              <w:rPr>
                <w:rFonts w:ascii="Times New Roman" w:hAnsi="Times New Roman" w:cs="Times New Roman"/>
                <w:sz w:val="20"/>
                <w:lang w:val="en-GB" w:eastAsia="zh-CN"/>
              </w:rPr>
              <w:t>Observation: LTE-M PUSCH sub-PRB allocation can be used to avoid allocating outlying REs to LTE-M UEs.</w:t>
            </w:r>
          </w:p>
          <w:p w14:paraId="36001739" w14:textId="5A52FCC5" w:rsidR="00467069" w:rsidRPr="0075188B" w:rsidRDefault="0055116C" w:rsidP="00467069">
            <w:pPr>
              <w:rPr>
                <w:rFonts w:ascii="Times New Roman" w:hAnsi="Times New Roman" w:cs="Times New Roman"/>
                <w:sz w:val="20"/>
                <w:lang w:val="en-GB" w:eastAsia="zh-CN"/>
              </w:rPr>
            </w:pPr>
            <w:r w:rsidRPr="0075188B">
              <w:rPr>
                <w:rFonts w:ascii="Times New Roman" w:hAnsi="Times New Roman" w:cs="Times New Roman"/>
                <w:sz w:val="20"/>
                <w:lang w:val="en-GB" w:eastAsia="zh-CN"/>
              </w:rPr>
              <w:t>Observation: Truncation of outlying LTE-M UL subcarriers would impact several signal quality aspects (including PAPR, orthogonality, etc.) and require both RAN1 and RAN4 study.</w:t>
            </w:r>
          </w:p>
        </w:tc>
      </w:tr>
      <w:tr w:rsidR="002946A6" w:rsidRPr="008A1717" w14:paraId="0900FA80" w14:textId="77777777" w:rsidTr="00373131">
        <w:tc>
          <w:tcPr>
            <w:tcW w:w="2830" w:type="dxa"/>
          </w:tcPr>
          <w:p w14:paraId="3C342D68" w14:textId="018DE9A4"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_Ref5045587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Huawei, HiSilicon</w:t>
            </w:r>
          </w:p>
        </w:tc>
        <w:tc>
          <w:tcPr>
            <w:tcW w:w="6799" w:type="dxa"/>
          </w:tcPr>
          <w:p w14:paraId="5845F887" w14:textId="77777777" w:rsidR="00C535F2" w:rsidRPr="0075188B" w:rsidRDefault="00C535F2" w:rsidP="00C535F2">
            <w:pPr>
              <w:rPr>
                <w:rFonts w:ascii="Times New Roman" w:hAnsi="Times New Roman" w:cs="Times New Roman"/>
                <w:sz w:val="20"/>
                <w:lang w:val="en-GB" w:eastAsia="zh-CN"/>
              </w:rPr>
            </w:pPr>
            <w:r w:rsidRPr="0075188B">
              <w:rPr>
                <w:rFonts w:ascii="Times New Roman" w:hAnsi="Times New Roman" w:cs="Times New Roman"/>
                <w:sz w:val="20"/>
                <w:lang w:val="en-GB" w:eastAsia="zh-CN"/>
              </w:rPr>
              <w:t>Proposal: For PDSCH of Rel-16 MTC UEs, when the number of outlying subcarriers is large, rate-matching is used, otherwise puncturing is used. For PDSCH of legacy MTC UEs, puncturing is always used to deal with the outlying subcarriers.</w:t>
            </w:r>
          </w:p>
          <w:p w14:paraId="38BEC10E" w14:textId="5ED3A488" w:rsidR="00594400" w:rsidRPr="0075188B" w:rsidRDefault="00C535F2" w:rsidP="00D644A2">
            <w:pPr>
              <w:rPr>
                <w:rFonts w:ascii="Times New Roman" w:hAnsi="Times New Roman" w:cs="Times New Roman"/>
                <w:sz w:val="20"/>
                <w:lang w:val="en-GB" w:eastAsia="zh-CN"/>
              </w:rPr>
            </w:pPr>
            <w:r w:rsidRPr="0075188B">
              <w:rPr>
                <w:rFonts w:ascii="Times New Roman" w:hAnsi="Times New Roman" w:cs="Times New Roman"/>
                <w:sz w:val="20"/>
                <w:lang w:val="en-GB" w:eastAsia="zh-CN"/>
              </w:rPr>
              <w:t>Proposal: For MPDCCH/PUCCH of Rel-16 MTC UEs, rate-matching is always used. For legacy MTC UEs, resources used for MPDCCH/PUCCH of LTE-MTC should be reserved by NR.</w:t>
            </w:r>
          </w:p>
        </w:tc>
      </w:tr>
      <w:tr w:rsidR="002946A6" w:rsidRPr="008A1717" w14:paraId="64B9193C" w14:textId="77777777" w:rsidTr="00373131">
        <w:tc>
          <w:tcPr>
            <w:tcW w:w="2830" w:type="dxa"/>
          </w:tcPr>
          <w:p w14:paraId="0596ADC3" w14:textId="517B4A74"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_Ref5045604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[4]</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ZTE</w:t>
            </w:r>
          </w:p>
        </w:tc>
        <w:tc>
          <w:tcPr>
            <w:tcW w:w="6799" w:type="dxa"/>
          </w:tcPr>
          <w:p w14:paraId="29BD8109" w14:textId="77777777" w:rsidR="00D917FE" w:rsidRPr="0075188B" w:rsidRDefault="00D917FE" w:rsidP="00D917FE">
            <w:pPr>
              <w:rPr>
                <w:rFonts w:ascii="Times New Roman" w:hAnsi="Times New Roman" w:cs="Times New Roman"/>
                <w:sz w:val="20"/>
                <w:lang w:val="en-GB" w:eastAsia="zh-CN"/>
              </w:rPr>
            </w:pPr>
            <w:r w:rsidRPr="0075188B">
              <w:rPr>
                <w:rFonts w:ascii="Times New Roman" w:hAnsi="Times New Roman" w:cs="Times New Roman"/>
                <w:sz w:val="20"/>
                <w:lang w:val="en-GB" w:eastAsia="zh-CN"/>
              </w:rPr>
              <w:t>Proposal: For a truncated outlying subcarrier, the REs other than CRS RE(s) are punctured.</w:t>
            </w:r>
          </w:p>
          <w:p w14:paraId="0094BA3B" w14:textId="3330E1C4" w:rsidR="002946A6" w:rsidRPr="0075188B" w:rsidRDefault="00D917FE" w:rsidP="00D917FE">
            <w:pPr>
              <w:rPr>
                <w:rFonts w:ascii="Times New Roman" w:hAnsi="Times New Roman" w:cs="Times New Roman"/>
                <w:sz w:val="20"/>
                <w:lang w:val="en-GB" w:eastAsia="zh-CN"/>
              </w:rPr>
            </w:pPr>
            <w:r w:rsidRPr="0075188B">
              <w:rPr>
                <w:rFonts w:ascii="Times New Roman" w:hAnsi="Times New Roman" w:cs="Times New Roman"/>
                <w:sz w:val="20"/>
                <w:lang w:val="en-GB" w:eastAsia="zh-CN"/>
              </w:rPr>
              <w:t>Proposal: For MPDCCH channel, the REs other than CRS RE(s) at the outlying subcarrier are always punctured once the feature of truncating the outlying subcarrier is semi-statically configured.</w:t>
            </w:r>
          </w:p>
        </w:tc>
      </w:tr>
      <w:tr w:rsidR="002946A6" w:rsidRPr="008A1717" w14:paraId="0C88466F" w14:textId="77777777" w:rsidTr="00373131">
        <w:tc>
          <w:tcPr>
            <w:tcW w:w="2830" w:type="dxa"/>
          </w:tcPr>
          <w:p w14:paraId="2C0A0EA8" w14:textId="27001C20"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_Ref5044500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[5]</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LG Electronics</w:t>
            </w:r>
          </w:p>
        </w:tc>
        <w:tc>
          <w:tcPr>
            <w:tcW w:w="6799" w:type="dxa"/>
          </w:tcPr>
          <w:p w14:paraId="18E10BA4" w14:textId="3CC5A395" w:rsidR="002946A6" w:rsidRPr="0075188B" w:rsidRDefault="008F0EA4" w:rsidP="00D842E7">
            <w:pPr>
              <w:rPr>
                <w:rFonts w:ascii="Times New Roman" w:hAnsi="Times New Roman" w:cs="Times New Roman"/>
                <w:sz w:val="20"/>
                <w:szCs w:val="20"/>
              </w:rPr>
            </w:pPr>
            <w:r w:rsidRPr="0075188B">
              <w:rPr>
                <w:rFonts w:ascii="Times New Roman" w:hAnsi="Times New Roman" w:cs="Times New Roman"/>
                <w:sz w:val="20"/>
                <w:szCs w:val="20"/>
              </w:rPr>
              <w:t>Proposal: When eMTC system is embedded within NR system bandwidth, the outlying subcarriers (i.e., the outmost subcarriers in one of either the lowermost or uppermost eMTC PRB crossing the NR PRB grid) are not used for downlink transmissions except CRS</w:t>
            </w:r>
          </w:p>
        </w:tc>
      </w:tr>
      <w:tr w:rsidR="002946A6" w:rsidRPr="007C2B1D" w14:paraId="01991AE4" w14:textId="77777777" w:rsidTr="00373131">
        <w:tc>
          <w:tcPr>
            <w:tcW w:w="2830" w:type="dxa"/>
          </w:tcPr>
          <w:p w14:paraId="6302B81C" w14:textId="2418A9D1"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_Ref8595986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[6]</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Nokia, Nokia Shanghai Bell</w:t>
            </w:r>
          </w:p>
        </w:tc>
        <w:tc>
          <w:tcPr>
            <w:tcW w:w="6799" w:type="dxa"/>
          </w:tcPr>
          <w:p w14:paraId="7DC77756" w14:textId="77777777" w:rsidR="002946A6" w:rsidRDefault="00201BF4" w:rsidP="00201BF4">
            <w:pPr>
              <w:rPr>
                <w:rFonts w:ascii="Times New Roman" w:hAnsi="Times New Roman" w:cs="Times New Roman"/>
                <w:sz w:val="20"/>
                <w:szCs w:val="20"/>
              </w:rPr>
            </w:pPr>
            <w:r w:rsidRPr="0075188B">
              <w:rPr>
                <w:rFonts w:ascii="Times New Roman" w:hAnsi="Times New Roman" w:cs="Times New Roman"/>
                <w:sz w:val="20"/>
                <w:szCs w:val="20"/>
              </w:rPr>
              <w:t>Proposal: Puncturing and/or rate-matching should be supported to improve resource block alignment with NR.</w:t>
            </w:r>
          </w:p>
          <w:p w14:paraId="7A5DF551" w14:textId="01B80C7A" w:rsidR="00AA0CD9" w:rsidRPr="0075188B" w:rsidRDefault="00AA0CD9" w:rsidP="00201BF4">
            <w:pPr>
              <w:rPr>
                <w:rFonts w:ascii="Times New Roman" w:hAnsi="Times New Roman" w:cs="Times New Roman"/>
                <w:sz w:val="20"/>
                <w:szCs w:val="20"/>
              </w:rPr>
            </w:pPr>
            <w:r w:rsidRPr="00AA0CD9">
              <w:rPr>
                <w:rFonts w:ascii="Times New Roman" w:hAnsi="Times New Roman" w:cs="Times New Roman"/>
                <w:sz w:val="20"/>
                <w:szCs w:val="20"/>
              </w:rPr>
              <w:lastRenderedPageBreak/>
              <w:t>Proposal: Consider supporting puncturing and/or rate-matching only for small number of subcarrier truncation (e.g. up to 4).</w:t>
            </w:r>
          </w:p>
        </w:tc>
      </w:tr>
      <w:tr w:rsidR="00BF7A4F" w:rsidRPr="007C2B1D" w14:paraId="010175BE" w14:textId="77777777" w:rsidTr="00373131">
        <w:tc>
          <w:tcPr>
            <w:tcW w:w="2830" w:type="dxa"/>
          </w:tcPr>
          <w:p w14:paraId="69A9570C" w14:textId="286C66E6" w:rsidR="00BF7A4F" w:rsidRPr="003E082E" w:rsidRDefault="00BF7A4F" w:rsidP="00BF7A4F">
            <w:pPr>
              <w:rPr>
                <w:rFonts w:ascii="Times New Roman" w:hAnsi="Times New Roman" w:cs="Times New Roman"/>
                <w:sz w:val="20"/>
                <w:lang w:val="en-GB" w:eastAsia="zh-CN"/>
              </w:rPr>
            </w:pPr>
            <w:r>
              <w:rPr>
                <w:rFonts w:ascii="Times New Roman" w:hAnsi="Times New Roman" w:cs="Times New Roman"/>
                <w:sz w:val="20"/>
                <w:lang w:val="en-GB" w:eastAsia="zh-CN"/>
              </w:rPr>
              <w:lastRenderedPageBreak/>
              <w:fldChar w:fldCharType="begin"/>
            </w:r>
            <w:r>
              <w:rPr>
                <w:rFonts w:ascii="Times New Roman" w:hAnsi="Times New Roman" w:cs="Times New Roman"/>
                <w:sz w:val="20"/>
                <w:lang w:val="en-GB" w:eastAsia="zh-CN"/>
              </w:rPr>
              <w:instrText xml:space="preserve"> REF _Ref529801415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[7]</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Qualcomm Incorporated</w:t>
            </w:r>
          </w:p>
        </w:tc>
        <w:tc>
          <w:tcPr>
            <w:tcW w:w="6799" w:type="dxa"/>
          </w:tcPr>
          <w:p w14:paraId="53A8C930" w14:textId="77777777" w:rsidR="00AA0CD9" w:rsidRDefault="00AA0CD9" w:rsidP="00AA0CD9">
            <w:pPr>
              <w:rPr>
                <w:rFonts w:ascii="Times New Roman" w:hAnsi="Times New Roman" w:cs="Times New Roman"/>
                <w:sz w:val="20"/>
                <w:szCs w:val="20"/>
              </w:rPr>
            </w:pPr>
            <w:r w:rsidRPr="003A0074">
              <w:rPr>
                <w:rFonts w:ascii="Times New Roman" w:hAnsi="Times New Roman" w:cs="Times New Roman"/>
                <w:sz w:val="20"/>
                <w:szCs w:val="20"/>
              </w:rPr>
              <w:t>Observation: RB misalignment between LTE-MTC and NR may exist in both downlink and uplink. The number of outlying subcarriers due to RB misalignment depends on how to place LTE-MTC within the NR carrier.</w:t>
            </w:r>
          </w:p>
          <w:p w14:paraId="207D465F" w14:textId="0D3B23C3" w:rsidR="00DE55E9" w:rsidRPr="0075188B" w:rsidRDefault="00AA0CD9" w:rsidP="00AA0CD9">
            <w:pPr>
              <w:rPr>
                <w:rFonts w:ascii="Times New Roman" w:hAnsi="Times New Roman" w:cs="Times New Roman"/>
                <w:sz w:val="20"/>
                <w:szCs w:val="20"/>
              </w:rPr>
            </w:pPr>
            <w:r w:rsidRPr="00CE5294">
              <w:rPr>
                <w:rFonts w:ascii="Times New Roman" w:hAnsi="Times New Roman" w:cs="Times New Roman"/>
                <w:sz w:val="20"/>
                <w:szCs w:val="20"/>
              </w:rPr>
              <w:t>Observation: Puncturing of resource elements at the outlying subcarriers does not work for the LTE-MTC uplink with DFT-spread SC-FDM waveform.</w:t>
            </w:r>
          </w:p>
        </w:tc>
      </w:tr>
    </w:tbl>
    <w:p w14:paraId="1F547785" w14:textId="5B96398B" w:rsidR="00780A15" w:rsidRDefault="00780A15" w:rsidP="00780A15">
      <w:pPr>
        <w:pStyle w:val="BodyText"/>
        <w:rPr>
          <w:rFonts w:ascii="Arial" w:hAnsi="Arial" w:cs="Arial"/>
          <w:sz w:val="20"/>
        </w:rPr>
      </w:pPr>
    </w:p>
    <w:p w14:paraId="51A70415" w14:textId="76405938" w:rsidR="005F4C85" w:rsidRDefault="005F4C85" w:rsidP="005F4C85">
      <w:pPr>
        <w:pStyle w:val="Heading2"/>
      </w:pPr>
      <w:r>
        <w:t>Methods for LTE-M subcarrier truncation</w:t>
      </w:r>
    </w:p>
    <w:p w14:paraId="0F546FBA" w14:textId="73470C25" w:rsidR="005F4C85" w:rsidRDefault="005F4C85" w:rsidP="005F4C85">
      <w:pPr>
        <w:pStyle w:val="BodyText"/>
        <w:rPr>
          <w:rFonts w:ascii="Arial" w:hAnsi="Arial" w:cs="Arial"/>
          <w:sz w:val="20"/>
        </w:rPr>
      </w:pPr>
      <w:r>
        <w:rPr>
          <w:rFonts w:ascii="Arial" w:hAnsi="Arial" w:cs="Arial"/>
          <w:sz w:val="20"/>
        </w:rPr>
        <w:t xml:space="preserve">The contributions listed in the table below discuss </w:t>
      </w:r>
      <w:r w:rsidR="002B53B3">
        <w:rPr>
          <w:rFonts w:ascii="Arial" w:hAnsi="Arial" w:cs="Arial"/>
          <w:sz w:val="20"/>
        </w:rPr>
        <w:t xml:space="preserve">how to carry out the </w:t>
      </w:r>
      <w:r>
        <w:rPr>
          <w:rFonts w:ascii="Arial" w:hAnsi="Arial" w:cs="Arial"/>
          <w:sz w:val="20"/>
        </w:rPr>
        <w:t>potential truncation of outlying LTE-M subcarriers.</w:t>
      </w:r>
    </w:p>
    <w:p w14:paraId="354EDABC" w14:textId="77777777" w:rsidR="005F4C85" w:rsidRPr="000345B6" w:rsidRDefault="005F4C85" w:rsidP="005F4C85">
      <w:pPr>
        <w:pStyle w:val="BodyText"/>
        <w:rPr>
          <w:rFonts w:ascii="Arial" w:hAnsi="Arial" w:cs="Arial"/>
          <w:sz w:val="20"/>
          <w:highlight w:val="yellow"/>
        </w:rPr>
      </w:pPr>
      <w:r w:rsidRPr="000345B6">
        <w:rPr>
          <w:rFonts w:ascii="Arial" w:hAnsi="Arial" w:cs="Arial"/>
          <w:sz w:val="20"/>
          <w:highlight w:val="yellow"/>
        </w:rPr>
        <w:t>Feature lead recommendation:</w:t>
      </w:r>
    </w:p>
    <w:p w14:paraId="448E65D2" w14:textId="087BE1EA" w:rsidR="009F1431" w:rsidRDefault="009F1431" w:rsidP="009F1431">
      <w:pPr>
        <w:pStyle w:val="BodyText"/>
        <w:numPr>
          <w:ilvl w:val="0"/>
          <w:numId w:val="29"/>
        </w:numPr>
        <w:rPr>
          <w:rFonts w:ascii="Arial" w:hAnsi="Arial" w:cs="Arial"/>
          <w:sz w:val="20"/>
        </w:rPr>
      </w:pPr>
      <w:r>
        <w:rPr>
          <w:rFonts w:ascii="Arial" w:hAnsi="Arial" w:cs="Arial"/>
          <w:sz w:val="20"/>
        </w:rPr>
        <w:t>RAN1 discusses whether the truncation of outlying LTE-M subcarriers should be limited to a very small number of subcarriers, e.g. 2 subcarriers.</w:t>
      </w:r>
    </w:p>
    <w:p w14:paraId="35ABFDF9" w14:textId="3360A7CD" w:rsidR="00FC1AEE" w:rsidRPr="004E0781" w:rsidRDefault="0082503A" w:rsidP="004E0781">
      <w:pPr>
        <w:pStyle w:val="BodyText"/>
        <w:numPr>
          <w:ilvl w:val="0"/>
          <w:numId w:val="29"/>
        </w:numPr>
        <w:rPr>
          <w:rFonts w:ascii="Arial" w:hAnsi="Arial" w:cs="Arial"/>
          <w:sz w:val="20"/>
        </w:rPr>
      </w:pPr>
      <w:r w:rsidRPr="004E0781">
        <w:rPr>
          <w:rFonts w:ascii="Arial" w:hAnsi="Arial" w:cs="Arial"/>
          <w:sz w:val="20"/>
        </w:rPr>
        <w:t xml:space="preserve">If </w:t>
      </w:r>
      <w:r w:rsidR="00FC1AEE" w:rsidRPr="004E0781">
        <w:rPr>
          <w:rFonts w:ascii="Arial" w:hAnsi="Arial" w:cs="Arial"/>
          <w:sz w:val="20"/>
        </w:rPr>
        <w:t>RAN1 concludes that the</w:t>
      </w:r>
      <w:r w:rsidRPr="004E0781">
        <w:rPr>
          <w:rFonts w:ascii="Arial" w:hAnsi="Arial" w:cs="Arial"/>
          <w:sz w:val="20"/>
        </w:rPr>
        <w:t xml:space="preserve"> maximum number of truncated LTE-M subcarriers is </w:t>
      </w:r>
      <w:r w:rsidR="004E0781">
        <w:rPr>
          <w:rFonts w:ascii="Arial" w:hAnsi="Arial" w:cs="Arial"/>
          <w:sz w:val="20"/>
        </w:rPr>
        <w:t xml:space="preserve">limited to a </w:t>
      </w:r>
      <w:r w:rsidRPr="004E0781">
        <w:rPr>
          <w:rFonts w:ascii="Arial" w:hAnsi="Arial" w:cs="Arial"/>
          <w:sz w:val="20"/>
        </w:rPr>
        <w:t>very small</w:t>
      </w:r>
      <w:r w:rsidR="004E0781">
        <w:rPr>
          <w:rFonts w:ascii="Arial" w:hAnsi="Arial" w:cs="Arial"/>
          <w:sz w:val="20"/>
        </w:rPr>
        <w:t xml:space="preserve"> number of subcarriers</w:t>
      </w:r>
      <w:r w:rsidRPr="004E0781">
        <w:rPr>
          <w:rFonts w:ascii="Arial" w:hAnsi="Arial" w:cs="Arial"/>
          <w:sz w:val="20"/>
        </w:rPr>
        <w:t xml:space="preserve">, </w:t>
      </w:r>
      <w:r w:rsidR="00FC1AEE" w:rsidRPr="004E0781">
        <w:rPr>
          <w:rFonts w:ascii="Arial" w:hAnsi="Arial" w:cs="Arial"/>
          <w:sz w:val="20"/>
        </w:rPr>
        <w:t>RAN</w:t>
      </w:r>
      <w:r w:rsidR="006367E0" w:rsidRPr="004E0781">
        <w:rPr>
          <w:rFonts w:ascii="Arial" w:hAnsi="Arial" w:cs="Arial"/>
          <w:sz w:val="20"/>
        </w:rPr>
        <w:t>1</w:t>
      </w:r>
      <w:r w:rsidR="00FC1AEE" w:rsidRPr="004E0781">
        <w:rPr>
          <w:rFonts w:ascii="Arial" w:hAnsi="Arial" w:cs="Arial"/>
          <w:sz w:val="20"/>
        </w:rPr>
        <w:t xml:space="preserve"> may </w:t>
      </w:r>
      <w:r w:rsidR="00173563">
        <w:rPr>
          <w:rFonts w:ascii="Arial" w:hAnsi="Arial" w:cs="Arial"/>
          <w:sz w:val="20"/>
        </w:rPr>
        <w:t>also</w:t>
      </w:r>
      <w:r w:rsidR="004E0781">
        <w:rPr>
          <w:rFonts w:ascii="Arial" w:hAnsi="Arial" w:cs="Arial"/>
          <w:sz w:val="20"/>
        </w:rPr>
        <w:t xml:space="preserve"> agree that</w:t>
      </w:r>
      <w:r w:rsidR="00A27298" w:rsidRPr="004E0781">
        <w:rPr>
          <w:rFonts w:ascii="Arial" w:hAnsi="Arial" w:cs="Arial"/>
          <w:sz w:val="20"/>
        </w:rPr>
        <w:t xml:space="preserve"> truncation is performed using puncturing.</w:t>
      </w:r>
    </w:p>
    <w:tbl>
      <w:tblPr>
        <w:tblStyle w:val="TableGrid"/>
        <w:tblW w:w="0" w:type="auto"/>
        <w:tblLook w:val="04A0" w:firstRow="1" w:lastRow="0" w:firstColumn="1" w:lastColumn="0" w:noHBand="0" w:noVBand="1"/>
      </w:tblPr>
      <w:tblGrid>
        <w:gridCol w:w="2830"/>
        <w:gridCol w:w="6799"/>
      </w:tblGrid>
      <w:tr w:rsidR="005F4C85" w:rsidRPr="008A1717" w14:paraId="3E27C101" w14:textId="77777777" w:rsidTr="000937A5">
        <w:tc>
          <w:tcPr>
            <w:tcW w:w="2830" w:type="dxa"/>
          </w:tcPr>
          <w:p w14:paraId="440992CE" w14:textId="5CD2B634" w:rsidR="005F4C85" w:rsidRPr="003E082E" w:rsidRDefault="005F4C85"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_Ref1595240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[2]</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Ericsson</w:t>
            </w:r>
          </w:p>
        </w:tc>
        <w:tc>
          <w:tcPr>
            <w:tcW w:w="6799" w:type="dxa"/>
          </w:tcPr>
          <w:p w14:paraId="38BFC4F8" w14:textId="77777777" w:rsidR="00F52361" w:rsidRPr="00373131" w:rsidRDefault="00F52361" w:rsidP="00F52361">
            <w:pPr>
              <w:rPr>
                <w:rFonts w:ascii="Times New Roman" w:hAnsi="Times New Roman" w:cs="Times New Roman"/>
                <w:sz w:val="20"/>
                <w:lang w:val="en-GB" w:eastAsia="zh-CN"/>
              </w:rPr>
            </w:pPr>
            <w:r w:rsidRPr="00373131">
              <w:rPr>
                <w:rFonts w:ascii="Times New Roman" w:hAnsi="Times New Roman" w:cs="Times New Roman"/>
                <w:sz w:val="20"/>
                <w:lang w:val="en-GB" w:eastAsia="zh-CN"/>
              </w:rPr>
              <w:t>Observation</w:t>
            </w:r>
            <w:r>
              <w:rPr>
                <w:rFonts w:ascii="Times New Roman" w:hAnsi="Times New Roman" w:cs="Times New Roman"/>
                <w:sz w:val="20"/>
                <w:lang w:val="en-GB" w:eastAsia="zh-CN"/>
              </w:rPr>
              <w:t xml:space="preserve">: </w:t>
            </w:r>
            <w:r w:rsidRPr="00373131">
              <w:rPr>
                <w:rFonts w:ascii="Times New Roman" w:hAnsi="Times New Roman" w:cs="Times New Roman"/>
                <w:sz w:val="20"/>
                <w:lang w:val="en-GB" w:eastAsia="zh-CN"/>
              </w:rPr>
              <w:t>The performance loss for an LTE-M UE due to subcarrier puncturing would depend on the number of punctured subcarriers and the number of PRBs allocated to the LTE-M UE.</w:t>
            </w:r>
          </w:p>
          <w:p w14:paraId="2FF42F8B" w14:textId="77777777" w:rsidR="00F52361" w:rsidRDefault="00F52361" w:rsidP="00F52361">
            <w:pPr>
              <w:rPr>
                <w:rFonts w:ascii="Times New Roman" w:hAnsi="Times New Roman" w:cs="Times New Roman"/>
                <w:sz w:val="20"/>
                <w:lang w:val="en-GB" w:eastAsia="zh-CN"/>
              </w:rPr>
            </w:pPr>
            <w:r w:rsidRPr="00373131">
              <w:rPr>
                <w:rFonts w:ascii="Times New Roman" w:hAnsi="Times New Roman" w:cs="Times New Roman"/>
                <w:sz w:val="20"/>
                <w:lang w:val="en-GB" w:eastAsia="zh-CN"/>
              </w:rPr>
              <w:t>Observation</w:t>
            </w:r>
            <w:r>
              <w:rPr>
                <w:rFonts w:ascii="Times New Roman" w:hAnsi="Times New Roman" w:cs="Times New Roman"/>
                <w:sz w:val="20"/>
                <w:lang w:val="en-GB" w:eastAsia="zh-CN"/>
              </w:rPr>
              <w:t xml:space="preserve">: </w:t>
            </w:r>
            <w:r w:rsidRPr="00373131">
              <w:rPr>
                <w:rFonts w:ascii="Times New Roman" w:hAnsi="Times New Roman" w:cs="Times New Roman"/>
                <w:sz w:val="20"/>
                <w:lang w:val="en-GB" w:eastAsia="zh-CN"/>
              </w:rPr>
              <w:t>In case of puncturing one outlying subcarrier without rate matching, the rate loss for an LTE-M UE is at most 8.33%. The rate loss due to puncturing two LTE-M subcarriers is at most 16.66%.</w:t>
            </w:r>
          </w:p>
          <w:p w14:paraId="45D0ABFB" w14:textId="77777777" w:rsidR="00F52361" w:rsidRDefault="00F52361" w:rsidP="00F52361">
            <w:pPr>
              <w:rPr>
                <w:rFonts w:ascii="Times New Roman" w:hAnsi="Times New Roman" w:cs="Times New Roman"/>
                <w:sz w:val="20"/>
                <w:lang w:val="en-GB" w:eastAsia="zh-CN"/>
              </w:rPr>
            </w:pPr>
            <w:r w:rsidRPr="00373131">
              <w:rPr>
                <w:rFonts w:ascii="Times New Roman" w:hAnsi="Times New Roman" w:cs="Times New Roman"/>
                <w:sz w:val="20"/>
                <w:lang w:val="en-GB" w:eastAsia="zh-CN"/>
              </w:rPr>
              <w:t>Proposal</w:t>
            </w:r>
            <w:r>
              <w:rPr>
                <w:rFonts w:ascii="Times New Roman" w:hAnsi="Times New Roman" w:cs="Times New Roman"/>
                <w:sz w:val="20"/>
                <w:lang w:val="en-GB" w:eastAsia="zh-CN"/>
              </w:rPr>
              <w:t xml:space="preserve">: </w:t>
            </w:r>
            <w:r w:rsidRPr="00373131">
              <w:rPr>
                <w:rFonts w:ascii="Times New Roman" w:hAnsi="Times New Roman" w:cs="Times New Roman"/>
                <w:sz w:val="20"/>
                <w:lang w:val="en-GB" w:eastAsia="zh-CN"/>
              </w:rPr>
              <w:t>Limit the performance loss from potential puncturing by restricting any potential puncturing of outlying LTE-M DL subcarriers to at most two subcarriers.</w:t>
            </w:r>
          </w:p>
          <w:p w14:paraId="2C13BB7D" w14:textId="72387D28" w:rsidR="00F52361" w:rsidRDefault="00F52361" w:rsidP="00F52361">
            <w:pPr>
              <w:rPr>
                <w:rFonts w:ascii="Times New Roman" w:hAnsi="Times New Roman" w:cs="Times New Roman"/>
                <w:sz w:val="20"/>
                <w:lang w:val="en-GB" w:eastAsia="zh-CN"/>
              </w:rPr>
            </w:pPr>
            <w:r w:rsidRPr="0029766D">
              <w:rPr>
                <w:rFonts w:ascii="Times New Roman" w:hAnsi="Times New Roman" w:cs="Times New Roman"/>
                <w:sz w:val="20"/>
                <w:lang w:val="en-GB" w:eastAsia="zh-CN"/>
              </w:rPr>
              <w:t>Proposal</w:t>
            </w:r>
            <w:r>
              <w:rPr>
                <w:rFonts w:ascii="Times New Roman" w:hAnsi="Times New Roman" w:cs="Times New Roman"/>
                <w:sz w:val="20"/>
                <w:lang w:val="en-GB" w:eastAsia="zh-CN"/>
              </w:rPr>
              <w:t xml:space="preserve">: </w:t>
            </w:r>
            <w:r w:rsidRPr="0029766D">
              <w:rPr>
                <w:rFonts w:ascii="Times New Roman" w:hAnsi="Times New Roman" w:cs="Times New Roman"/>
                <w:sz w:val="20"/>
                <w:lang w:val="en-GB" w:eastAsia="zh-CN"/>
              </w:rPr>
              <w:t>RAN1 does not further consider puncturing of more than two outlying subcarriers in FDD UL and DL.</w:t>
            </w:r>
          </w:p>
          <w:p w14:paraId="3EC9007C" w14:textId="0C0C6635" w:rsidR="00327D79" w:rsidRPr="00327D79" w:rsidRDefault="00327D79" w:rsidP="00327D79">
            <w:pPr>
              <w:rPr>
                <w:rFonts w:ascii="Times New Roman" w:hAnsi="Times New Roman" w:cs="Times New Roman"/>
                <w:sz w:val="20"/>
                <w:lang w:val="en-GB" w:eastAsia="zh-CN"/>
              </w:rPr>
            </w:pPr>
            <w:r w:rsidRPr="00327D79">
              <w:rPr>
                <w:rFonts w:ascii="Times New Roman" w:hAnsi="Times New Roman" w:cs="Times New Roman"/>
                <w:sz w:val="20"/>
                <w:lang w:val="en-GB" w:eastAsia="zh-CN"/>
              </w:rPr>
              <w:t>Observation: To avoid any LTE-M performance degradation, LTE-M DMRS may not be punctured when it is transmitted on outlying subcarriers.</w:t>
            </w:r>
          </w:p>
          <w:p w14:paraId="766FE817" w14:textId="402476E7" w:rsidR="005F4C85" w:rsidRPr="003E082E" w:rsidRDefault="00327D79" w:rsidP="00327D79">
            <w:pPr>
              <w:rPr>
                <w:rFonts w:ascii="Times New Roman" w:hAnsi="Times New Roman" w:cs="Times New Roman"/>
                <w:sz w:val="20"/>
                <w:lang w:val="en-GB" w:eastAsia="zh-CN"/>
              </w:rPr>
            </w:pPr>
            <w:r w:rsidRPr="00327D79">
              <w:rPr>
                <w:rFonts w:ascii="Times New Roman" w:hAnsi="Times New Roman" w:cs="Times New Roman"/>
                <w:sz w:val="20"/>
                <w:lang w:val="en-GB" w:eastAsia="zh-CN"/>
              </w:rPr>
              <w:t>Proposal: To handle LTE-M outlying subcarriers, puncturing should be selected over rate matching due its lower complexity and compatibility with legacy UEs.</w:t>
            </w:r>
          </w:p>
        </w:tc>
      </w:tr>
      <w:tr w:rsidR="005F4C85" w:rsidRPr="008A1717" w14:paraId="1879F3B9" w14:textId="77777777" w:rsidTr="000937A5">
        <w:tc>
          <w:tcPr>
            <w:tcW w:w="2830" w:type="dxa"/>
          </w:tcPr>
          <w:p w14:paraId="16240694" w14:textId="3E9B686C" w:rsidR="005F4C85" w:rsidRPr="003E082E" w:rsidRDefault="005F4C85"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_Ref5045587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Huawei, HiSilicon</w:t>
            </w:r>
          </w:p>
        </w:tc>
        <w:tc>
          <w:tcPr>
            <w:tcW w:w="6799" w:type="dxa"/>
          </w:tcPr>
          <w:p w14:paraId="45EAE83F" w14:textId="77777777" w:rsidR="00314F13" w:rsidRPr="00314F13" w:rsidRDefault="00314F13" w:rsidP="00314F13">
            <w:pPr>
              <w:rPr>
                <w:rFonts w:ascii="Times New Roman" w:hAnsi="Times New Roman" w:cs="Times New Roman"/>
                <w:sz w:val="20"/>
                <w:lang w:val="en-GB" w:eastAsia="zh-CN"/>
              </w:rPr>
            </w:pPr>
            <w:r w:rsidRPr="00314F13">
              <w:rPr>
                <w:rFonts w:ascii="Times New Roman" w:hAnsi="Times New Roman" w:cs="Times New Roman"/>
                <w:sz w:val="20"/>
                <w:lang w:val="en-GB" w:eastAsia="zh-CN"/>
              </w:rPr>
              <w:t>Proposal: For PDSCH of Rel-16 MTC UEs, when the number of outlying subcarriers is large, rate-matching is used, otherwise puncturing is used. For PDSCH of legacy MTC UEs, puncturing is always used to deal with the outlying subcarriers.</w:t>
            </w:r>
          </w:p>
          <w:p w14:paraId="5FDC9CFD" w14:textId="77777777" w:rsidR="00314F13" w:rsidRPr="00314F13" w:rsidRDefault="00314F13" w:rsidP="00314F13">
            <w:pPr>
              <w:rPr>
                <w:rFonts w:ascii="Times New Roman" w:hAnsi="Times New Roman" w:cs="Times New Roman"/>
                <w:sz w:val="20"/>
                <w:lang w:val="en-GB" w:eastAsia="zh-CN"/>
              </w:rPr>
            </w:pPr>
            <w:r w:rsidRPr="00314F13">
              <w:rPr>
                <w:rFonts w:ascii="Times New Roman" w:hAnsi="Times New Roman" w:cs="Times New Roman"/>
                <w:sz w:val="20"/>
                <w:lang w:val="en-GB" w:eastAsia="zh-CN"/>
              </w:rPr>
              <w:t>Proposal: For MPDCCH/PUCCH of Rel-16 MTC UEs, rate-matching is always used. For legacy MTC UEs, resources used for MPDCCH/PUCCH of LTE-MTC should be reserved by NR.</w:t>
            </w:r>
          </w:p>
          <w:p w14:paraId="7F1D0C9E" w14:textId="2D7F8987" w:rsidR="005F4C85" w:rsidRPr="003E082E" w:rsidRDefault="00314F13" w:rsidP="00314F13">
            <w:pPr>
              <w:rPr>
                <w:rFonts w:ascii="Times New Roman" w:hAnsi="Times New Roman" w:cs="Times New Roman"/>
                <w:sz w:val="20"/>
                <w:lang w:val="en-GB" w:eastAsia="zh-CN"/>
              </w:rPr>
            </w:pPr>
            <w:r w:rsidRPr="00314F13">
              <w:rPr>
                <w:rFonts w:ascii="Times New Roman" w:hAnsi="Times New Roman" w:cs="Times New Roman"/>
                <w:sz w:val="20"/>
                <w:lang w:val="en-GB" w:eastAsia="zh-CN"/>
              </w:rPr>
              <w:t>Proposal: No new transmission scheme is introduced after the outlying subcarrier is punctured or rate-matched around.</w:t>
            </w:r>
          </w:p>
        </w:tc>
      </w:tr>
      <w:tr w:rsidR="005F4C85" w:rsidRPr="008A1717" w14:paraId="7538AA4A" w14:textId="77777777" w:rsidTr="000937A5">
        <w:tc>
          <w:tcPr>
            <w:tcW w:w="2830" w:type="dxa"/>
          </w:tcPr>
          <w:p w14:paraId="1987D075" w14:textId="41D25FA6" w:rsidR="005F4C85" w:rsidRPr="003E082E" w:rsidRDefault="005F4C85"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_Ref5045604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[4]</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ZTE</w:t>
            </w:r>
          </w:p>
        </w:tc>
        <w:tc>
          <w:tcPr>
            <w:tcW w:w="6799" w:type="dxa"/>
          </w:tcPr>
          <w:p w14:paraId="17CC28A1" w14:textId="77777777" w:rsidR="00C12877" w:rsidRPr="00C12877" w:rsidRDefault="00C12877" w:rsidP="00C12877">
            <w:pPr>
              <w:rPr>
                <w:rFonts w:ascii="Times New Roman" w:hAnsi="Times New Roman" w:cs="Times New Roman"/>
                <w:sz w:val="20"/>
                <w:lang w:val="en-GB" w:eastAsia="zh-CN"/>
              </w:rPr>
            </w:pPr>
            <w:r w:rsidRPr="00C12877">
              <w:rPr>
                <w:rFonts w:ascii="Times New Roman" w:hAnsi="Times New Roman" w:cs="Times New Roman"/>
                <w:sz w:val="20"/>
                <w:lang w:val="en-GB" w:eastAsia="zh-CN"/>
              </w:rPr>
              <w:t>Observation: For coexistence of LTE-MTC with NR, the number of PRBs with outlying subcarriers may be increased for the case that the LTE-MTC PRBs allocated to multiple LTE-MTC UEs are not continuous.</w:t>
            </w:r>
          </w:p>
          <w:p w14:paraId="0E3F72F8" w14:textId="77777777" w:rsidR="00C12877" w:rsidRPr="00C12877" w:rsidRDefault="00C12877" w:rsidP="00C12877">
            <w:pPr>
              <w:rPr>
                <w:rFonts w:ascii="Times New Roman" w:hAnsi="Times New Roman" w:cs="Times New Roman"/>
                <w:sz w:val="20"/>
                <w:lang w:val="en-GB" w:eastAsia="zh-CN"/>
              </w:rPr>
            </w:pPr>
            <w:r w:rsidRPr="00C12877">
              <w:rPr>
                <w:rFonts w:ascii="Times New Roman" w:hAnsi="Times New Roman" w:cs="Times New Roman"/>
                <w:sz w:val="20"/>
                <w:lang w:val="en-GB" w:eastAsia="zh-CN"/>
              </w:rPr>
              <w:lastRenderedPageBreak/>
              <w:t>Observation: Rate-matching around the outlying subcarrier cannot be backward compatible with legacy LTE-MTC UEs.</w:t>
            </w:r>
          </w:p>
          <w:p w14:paraId="332A5CB3" w14:textId="77777777" w:rsidR="00C12877" w:rsidRPr="00C12877" w:rsidRDefault="00C12877" w:rsidP="00C12877">
            <w:pPr>
              <w:rPr>
                <w:rFonts w:ascii="Times New Roman" w:hAnsi="Times New Roman" w:cs="Times New Roman"/>
                <w:sz w:val="20"/>
                <w:lang w:val="en-GB" w:eastAsia="zh-CN"/>
              </w:rPr>
            </w:pPr>
            <w:r w:rsidRPr="00C12877">
              <w:rPr>
                <w:rFonts w:ascii="Times New Roman" w:hAnsi="Times New Roman" w:cs="Times New Roman"/>
                <w:sz w:val="20"/>
                <w:lang w:val="en-GB" w:eastAsia="zh-CN"/>
              </w:rPr>
              <w:t>Observation: For PDSCH transmission with single PRB allocation, the performance impact is relatively large if the LTE-MTC UE does not know that the outlying subcarrier is truncated.</w:t>
            </w:r>
          </w:p>
          <w:p w14:paraId="7B33193D" w14:textId="77777777" w:rsidR="00C12877" w:rsidRPr="00C12877" w:rsidRDefault="00C12877" w:rsidP="00C12877">
            <w:pPr>
              <w:rPr>
                <w:rFonts w:ascii="Times New Roman" w:hAnsi="Times New Roman" w:cs="Times New Roman"/>
                <w:sz w:val="20"/>
                <w:lang w:val="en-GB" w:eastAsia="zh-CN"/>
              </w:rPr>
            </w:pPr>
            <w:r w:rsidRPr="00C12877">
              <w:rPr>
                <w:rFonts w:ascii="Times New Roman" w:hAnsi="Times New Roman" w:cs="Times New Roman"/>
                <w:sz w:val="20"/>
                <w:lang w:val="en-GB" w:eastAsia="zh-CN"/>
              </w:rPr>
              <w:t>Proposal: For a truncated outlying subcarrier, the REs other than CRS RE(s) are punctured.</w:t>
            </w:r>
          </w:p>
          <w:p w14:paraId="0A54E097" w14:textId="725C2DAC" w:rsidR="005F4C85" w:rsidRPr="003E082E" w:rsidRDefault="00C12877" w:rsidP="00C12877">
            <w:pPr>
              <w:rPr>
                <w:rFonts w:ascii="Times New Roman" w:hAnsi="Times New Roman" w:cs="Times New Roman"/>
                <w:sz w:val="20"/>
                <w:lang w:val="en-GB" w:eastAsia="zh-CN"/>
              </w:rPr>
            </w:pPr>
            <w:r w:rsidRPr="00C12877">
              <w:rPr>
                <w:rFonts w:ascii="Times New Roman" w:hAnsi="Times New Roman" w:cs="Times New Roman"/>
                <w:sz w:val="20"/>
                <w:lang w:val="en-GB" w:eastAsia="zh-CN"/>
              </w:rPr>
              <w:t>Proposal: For MPDCCH channel, the REs other than CRS RE(s) at the outlying subcarrier are always punctured once the feature of truncating the outlying subcarrier is semi-statically configured.</w:t>
            </w:r>
          </w:p>
        </w:tc>
      </w:tr>
      <w:tr w:rsidR="005F4C85" w:rsidRPr="008A1717" w14:paraId="51482E17" w14:textId="77777777" w:rsidTr="000937A5">
        <w:tc>
          <w:tcPr>
            <w:tcW w:w="2830" w:type="dxa"/>
          </w:tcPr>
          <w:p w14:paraId="19E9C3E2" w14:textId="715EFE5A" w:rsidR="005F4C85" w:rsidRPr="003E082E" w:rsidRDefault="005F4C85" w:rsidP="000937A5">
            <w:pPr>
              <w:rPr>
                <w:rFonts w:ascii="Times New Roman" w:hAnsi="Times New Roman" w:cs="Times New Roman"/>
                <w:sz w:val="20"/>
                <w:lang w:val="en-GB" w:eastAsia="zh-CN"/>
              </w:rPr>
            </w:pPr>
            <w:r>
              <w:rPr>
                <w:rFonts w:ascii="Times New Roman" w:hAnsi="Times New Roman" w:cs="Times New Roman"/>
                <w:sz w:val="20"/>
                <w:lang w:val="en-GB" w:eastAsia="zh-CN"/>
              </w:rPr>
              <w:lastRenderedPageBreak/>
              <w:fldChar w:fldCharType="begin"/>
            </w:r>
            <w:r>
              <w:rPr>
                <w:rFonts w:ascii="Times New Roman" w:hAnsi="Times New Roman" w:cs="Times New Roman"/>
                <w:sz w:val="20"/>
                <w:lang w:val="en-GB" w:eastAsia="zh-CN"/>
              </w:rPr>
              <w:instrText xml:space="preserve"> REF _Ref5044500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[5]</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LG Electronics</w:t>
            </w:r>
          </w:p>
        </w:tc>
        <w:tc>
          <w:tcPr>
            <w:tcW w:w="6799" w:type="dxa"/>
          </w:tcPr>
          <w:p w14:paraId="2E319399" w14:textId="77777777" w:rsidR="002617C8" w:rsidRPr="0075188B" w:rsidRDefault="002617C8" w:rsidP="002617C8">
            <w:pPr>
              <w:rPr>
                <w:rFonts w:ascii="Times New Roman" w:hAnsi="Times New Roman" w:cs="Times New Roman"/>
                <w:sz w:val="20"/>
                <w:szCs w:val="20"/>
              </w:rPr>
            </w:pPr>
            <w:r w:rsidRPr="0075188B">
              <w:rPr>
                <w:rFonts w:ascii="Times New Roman" w:hAnsi="Times New Roman" w:cs="Times New Roman"/>
                <w:sz w:val="20"/>
                <w:szCs w:val="20"/>
              </w:rPr>
              <w:t>Proposal: When eMTC system is embedded within NR system bandwidth, the outlying subcarriers (i.e., the outmost subcarriers in one of either the lowermost or uppermost eMTC PRB crossing the NR PRB grid) are not used for downlink transmissions except CRS</w:t>
            </w:r>
          </w:p>
          <w:p w14:paraId="3EF81BEA" w14:textId="77777777" w:rsidR="002617C8" w:rsidRPr="0075188B" w:rsidRDefault="002617C8" w:rsidP="002617C8">
            <w:pPr>
              <w:pStyle w:val="ListParagraph"/>
              <w:numPr>
                <w:ilvl w:val="0"/>
                <w:numId w:val="48"/>
              </w:numPr>
              <w:rPr>
                <w:rFonts w:ascii="Times New Roman" w:hAnsi="Times New Roman" w:cs="Times New Roman"/>
                <w:sz w:val="20"/>
                <w:szCs w:val="20"/>
              </w:rPr>
            </w:pPr>
            <w:r w:rsidRPr="0075188B">
              <w:rPr>
                <w:rFonts w:ascii="Times New Roman" w:hAnsi="Times New Roman" w:cs="Times New Roman"/>
                <w:sz w:val="20"/>
                <w:szCs w:val="20"/>
              </w:rPr>
              <w:t>For downlink channels (e.g., MPDCCH and/or PDSCH) that can be received by pre-Rel.16 UEs, REs at the outlying subcarrier are punctured</w:t>
            </w:r>
          </w:p>
          <w:p w14:paraId="3613F89E" w14:textId="77777777" w:rsidR="002617C8" w:rsidRPr="0075188B" w:rsidRDefault="002617C8" w:rsidP="002617C8">
            <w:pPr>
              <w:pStyle w:val="ListParagraph"/>
              <w:numPr>
                <w:ilvl w:val="0"/>
                <w:numId w:val="48"/>
              </w:numPr>
              <w:rPr>
                <w:rFonts w:ascii="Times New Roman" w:hAnsi="Times New Roman" w:cs="Times New Roman"/>
                <w:sz w:val="20"/>
                <w:szCs w:val="20"/>
              </w:rPr>
            </w:pPr>
            <w:r w:rsidRPr="0075188B">
              <w:rPr>
                <w:rFonts w:ascii="Times New Roman" w:hAnsi="Times New Roman" w:cs="Times New Roman"/>
                <w:sz w:val="20"/>
                <w:szCs w:val="20"/>
              </w:rPr>
              <w:t>For downlink channels (e.g., MPDCCH and/or PDSCH) that will be received only by post-Rel.15 UEs, the downlink channels are rate-matched around the outlying subcarrier</w:t>
            </w:r>
          </w:p>
          <w:p w14:paraId="380C7744" w14:textId="0B6ED5FD" w:rsidR="005F4C85" w:rsidRPr="0075188B" w:rsidRDefault="002617C8" w:rsidP="002617C8">
            <w:pPr>
              <w:pStyle w:val="ListParagraph"/>
              <w:numPr>
                <w:ilvl w:val="0"/>
                <w:numId w:val="48"/>
              </w:numPr>
              <w:rPr>
                <w:rFonts w:ascii="Times New Roman" w:hAnsi="Times New Roman" w:cs="Times New Roman"/>
                <w:sz w:val="20"/>
                <w:szCs w:val="20"/>
              </w:rPr>
            </w:pPr>
            <w:r w:rsidRPr="0075188B">
              <w:rPr>
                <w:rFonts w:ascii="Times New Roman" w:hAnsi="Times New Roman" w:cs="Times New Roman"/>
                <w:sz w:val="20"/>
                <w:szCs w:val="20"/>
              </w:rPr>
              <w:t xml:space="preserve">FFS on whether and how post-Rel.15 eMTC UEs are aware of </w:t>
            </w:r>
            <w:proofErr w:type="gramStart"/>
            <w:r w:rsidRPr="0075188B">
              <w:rPr>
                <w:rFonts w:ascii="Times New Roman" w:hAnsi="Times New Roman" w:cs="Times New Roman"/>
                <w:sz w:val="20"/>
                <w:szCs w:val="20"/>
              </w:rPr>
              <w:t>whether or not</w:t>
            </w:r>
            <w:proofErr w:type="gramEnd"/>
            <w:r w:rsidRPr="0075188B">
              <w:rPr>
                <w:rFonts w:ascii="Times New Roman" w:hAnsi="Times New Roman" w:cs="Times New Roman"/>
                <w:sz w:val="20"/>
                <w:szCs w:val="20"/>
              </w:rPr>
              <w:t xml:space="preserve"> the outlying subcarriers are used for downlink transmission</w:t>
            </w:r>
          </w:p>
        </w:tc>
      </w:tr>
      <w:tr w:rsidR="005F4C85" w:rsidRPr="007C2B1D" w14:paraId="3D3AD28D" w14:textId="77777777" w:rsidTr="000937A5">
        <w:tc>
          <w:tcPr>
            <w:tcW w:w="2830" w:type="dxa"/>
          </w:tcPr>
          <w:p w14:paraId="7488AFAE" w14:textId="3A1BD489" w:rsidR="005F4C85" w:rsidRPr="003E082E" w:rsidRDefault="005F4C85"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_Ref529801415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[7]</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Qualcomm Incorporated</w:t>
            </w:r>
          </w:p>
        </w:tc>
        <w:tc>
          <w:tcPr>
            <w:tcW w:w="6799" w:type="dxa"/>
          </w:tcPr>
          <w:p w14:paraId="6A23EAF5" w14:textId="77777777" w:rsidR="0075188B" w:rsidRPr="0075188B" w:rsidRDefault="0075188B" w:rsidP="0075188B">
            <w:pPr>
              <w:rPr>
                <w:rFonts w:ascii="Times New Roman" w:hAnsi="Times New Roman" w:cs="Times New Roman"/>
                <w:sz w:val="20"/>
                <w:szCs w:val="20"/>
              </w:rPr>
            </w:pPr>
            <w:r w:rsidRPr="0075188B">
              <w:rPr>
                <w:rFonts w:ascii="Times New Roman" w:hAnsi="Times New Roman" w:cs="Times New Roman"/>
                <w:sz w:val="20"/>
                <w:szCs w:val="20"/>
              </w:rPr>
              <w:t xml:space="preserve">Observation: Rate matching is not backward compatible and may achieve better performance than puncturing. However, the increase on implementation complexity and </w:t>
            </w:r>
            <w:r w:rsidRPr="0075188B">
              <w:rPr>
                <w:rFonts w:ascii="Times New Roman" w:hAnsi="Times New Roman" w:cs="Times New Roman"/>
                <w:sz w:val="20"/>
                <w:szCs w:val="20"/>
                <w:lang w:val="en-GB"/>
              </w:rPr>
              <w:t>signalling</w:t>
            </w:r>
            <w:r w:rsidRPr="0075188B">
              <w:rPr>
                <w:rFonts w:ascii="Times New Roman" w:hAnsi="Times New Roman" w:cs="Times New Roman"/>
                <w:sz w:val="20"/>
                <w:szCs w:val="20"/>
              </w:rPr>
              <w:t xml:space="preserve"> overhead shall be considered also.</w:t>
            </w:r>
          </w:p>
          <w:p w14:paraId="3AC89CF9" w14:textId="7EF9AEF0" w:rsidR="005F4C85" w:rsidRPr="0075188B" w:rsidRDefault="0075188B" w:rsidP="0075188B">
            <w:pPr>
              <w:rPr>
                <w:rFonts w:ascii="Times New Roman" w:hAnsi="Times New Roman" w:cs="Times New Roman"/>
                <w:sz w:val="20"/>
                <w:szCs w:val="20"/>
              </w:rPr>
            </w:pPr>
            <w:r w:rsidRPr="0075188B">
              <w:rPr>
                <w:rFonts w:ascii="Times New Roman" w:hAnsi="Times New Roman" w:cs="Times New Roman"/>
                <w:sz w:val="20"/>
                <w:szCs w:val="20"/>
              </w:rPr>
              <w:t>Proposal: DMRS is truncated on the outlying subcarriers in case of puncturing or rate matching.</w:t>
            </w:r>
          </w:p>
        </w:tc>
      </w:tr>
    </w:tbl>
    <w:p w14:paraId="2D2A7A6A" w14:textId="77777777" w:rsidR="005F4C85" w:rsidRDefault="005F4C85" w:rsidP="00780A15">
      <w:pPr>
        <w:pStyle w:val="BodyText"/>
        <w:rPr>
          <w:rFonts w:ascii="Arial" w:hAnsi="Arial" w:cs="Arial"/>
          <w:sz w:val="20"/>
        </w:rPr>
      </w:pPr>
    </w:p>
    <w:p w14:paraId="672967A5" w14:textId="61FAB312" w:rsidR="0040039F" w:rsidRDefault="000030BF" w:rsidP="0040039F">
      <w:pPr>
        <w:pStyle w:val="Heading2"/>
      </w:pPr>
      <w:r>
        <w:t>Signalling aspects</w:t>
      </w:r>
      <w:r w:rsidR="00D659BB">
        <w:t xml:space="preserve"> of LTE-M subcarrier truncation</w:t>
      </w:r>
    </w:p>
    <w:p w14:paraId="05AEBF2C" w14:textId="42F5B8B6" w:rsidR="00AB101D" w:rsidRDefault="0040039F" w:rsidP="0040039F">
      <w:pPr>
        <w:rPr>
          <w:rFonts w:ascii="Arial" w:hAnsi="Arial" w:cs="Arial"/>
          <w:sz w:val="20"/>
        </w:rPr>
      </w:pPr>
      <w:r>
        <w:rPr>
          <w:rFonts w:ascii="Arial" w:hAnsi="Arial" w:cs="Arial"/>
          <w:sz w:val="20"/>
        </w:rPr>
        <w:t xml:space="preserve">The contribution listed in the table below </w:t>
      </w:r>
      <w:r w:rsidR="00AB101D">
        <w:rPr>
          <w:rFonts w:ascii="Arial" w:hAnsi="Arial" w:cs="Arial"/>
          <w:sz w:val="20"/>
        </w:rPr>
        <w:t>proposes that the LTE-M subcarrier truncation is semi-statically configured but that dynamic DCI signaling can furthermore be used to indicate whether to truncate a transmission.</w:t>
      </w:r>
    </w:p>
    <w:p w14:paraId="78942945" w14:textId="77777777" w:rsidR="0040039F" w:rsidRPr="00DF475D" w:rsidRDefault="0040039F" w:rsidP="0040039F">
      <w:pPr>
        <w:pStyle w:val="BodyText"/>
        <w:rPr>
          <w:rFonts w:ascii="Arial" w:hAnsi="Arial" w:cs="Arial"/>
          <w:sz w:val="20"/>
          <w:highlight w:val="yellow"/>
        </w:rPr>
      </w:pPr>
      <w:r w:rsidRPr="00DF475D">
        <w:rPr>
          <w:rFonts w:ascii="Arial" w:hAnsi="Arial" w:cs="Arial"/>
          <w:sz w:val="20"/>
          <w:highlight w:val="yellow"/>
        </w:rPr>
        <w:t>Feature lead recommendation:</w:t>
      </w:r>
    </w:p>
    <w:p w14:paraId="046487A3" w14:textId="13CE45E0" w:rsidR="008E5210" w:rsidRDefault="008E5210" w:rsidP="00C328E9">
      <w:pPr>
        <w:pStyle w:val="BodyText"/>
        <w:numPr>
          <w:ilvl w:val="0"/>
          <w:numId w:val="43"/>
        </w:numPr>
        <w:rPr>
          <w:rFonts w:ascii="Arial" w:hAnsi="Arial" w:cs="Arial"/>
          <w:sz w:val="20"/>
        </w:rPr>
      </w:pPr>
      <w:r>
        <w:rPr>
          <w:rFonts w:ascii="Arial" w:hAnsi="Arial" w:cs="Arial"/>
          <w:sz w:val="20"/>
        </w:rPr>
        <w:t>For LTE-M subcarrier truncation (if specified), semi-static configuration is supported, and dynamic DCI signaling is FFS.</w:t>
      </w:r>
    </w:p>
    <w:tbl>
      <w:tblPr>
        <w:tblStyle w:val="TableGrid"/>
        <w:tblW w:w="0" w:type="auto"/>
        <w:tblLook w:val="04A0" w:firstRow="1" w:lastRow="0" w:firstColumn="1" w:lastColumn="0" w:noHBand="0" w:noVBand="1"/>
      </w:tblPr>
      <w:tblGrid>
        <w:gridCol w:w="2830"/>
        <w:gridCol w:w="6799"/>
      </w:tblGrid>
      <w:tr w:rsidR="0040039F" w:rsidRPr="008A1717" w14:paraId="613961D0" w14:textId="77777777" w:rsidTr="000937A5">
        <w:tc>
          <w:tcPr>
            <w:tcW w:w="2830" w:type="dxa"/>
          </w:tcPr>
          <w:p w14:paraId="03F153EF" w14:textId="4C900993" w:rsidR="0040039F" w:rsidRPr="003E082E" w:rsidRDefault="0040039F"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_Ref5045604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[4]</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ZTE</w:t>
            </w:r>
          </w:p>
        </w:tc>
        <w:tc>
          <w:tcPr>
            <w:tcW w:w="6799" w:type="dxa"/>
          </w:tcPr>
          <w:p w14:paraId="74E61965" w14:textId="77777777" w:rsidR="0040039F" w:rsidRDefault="0040039F" w:rsidP="0040039F">
            <w:pPr>
              <w:rPr>
                <w:rFonts w:ascii="Times New Roman" w:hAnsi="Times New Roman" w:cs="Times New Roman"/>
                <w:sz w:val="20"/>
                <w:lang w:val="en-GB" w:eastAsia="zh-CN"/>
              </w:rPr>
            </w:pPr>
            <w:r w:rsidRPr="006F53F6">
              <w:rPr>
                <w:rFonts w:ascii="Times New Roman" w:hAnsi="Times New Roman" w:cs="Times New Roman"/>
                <w:sz w:val="20"/>
                <w:lang w:val="en-GB" w:eastAsia="zh-CN"/>
              </w:rPr>
              <w:t>Observation: When continuous PRBs are allocated to multiple LTE-MTC transmissions, not all outlying subcarriers need to be truncated. In this case, dynamic DCI signalling can accurately indicate whether the outlying subcarrier is used for a given LTE-MTC PDSCH transmission</w:t>
            </w:r>
            <w:r>
              <w:rPr>
                <w:rFonts w:ascii="Times New Roman" w:hAnsi="Times New Roman" w:cs="Times New Roman"/>
                <w:sz w:val="20"/>
                <w:lang w:val="en-GB" w:eastAsia="zh-CN"/>
              </w:rPr>
              <w:t>.</w:t>
            </w:r>
          </w:p>
          <w:p w14:paraId="5C2DB9AF" w14:textId="71A63D1B" w:rsidR="0040039F" w:rsidRPr="003E082E" w:rsidRDefault="0040039F" w:rsidP="000937A5">
            <w:pPr>
              <w:rPr>
                <w:rFonts w:ascii="Times New Roman" w:hAnsi="Times New Roman" w:cs="Times New Roman"/>
                <w:sz w:val="20"/>
                <w:lang w:val="en-GB" w:eastAsia="zh-CN"/>
              </w:rPr>
            </w:pPr>
            <w:r>
              <w:rPr>
                <w:rFonts w:ascii="Times New Roman" w:hAnsi="Times New Roman" w:cs="Times New Roman"/>
                <w:sz w:val="20"/>
                <w:lang w:val="en-GB" w:eastAsia="zh-CN"/>
              </w:rPr>
              <w:t>P</w:t>
            </w:r>
            <w:r w:rsidRPr="006F53F6">
              <w:rPr>
                <w:rFonts w:ascii="Times New Roman" w:hAnsi="Times New Roman" w:cs="Times New Roman"/>
                <w:sz w:val="20"/>
                <w:lang w:val="en-GB" w:eastAsia="zh-CN"/>
              </w:rPr>
              <w:t>roposal: For Rel-16 LTE-MTC UEs, when the feature of truncating outlying subcarrier is semi-statically configured, dynamic DCI signalling can be used to indicate whether to truncate the outlying subcarrier for PDSCH channel.</w:t>
            </w:r>
          </w:p>
        </w:tc>
      </w:tr>
    </w:tbl>
    <w:p w14:paraId="5E225BD2" w14:textId="77777777" w:rsidR="0040039F" w:rsidRDefault="0040039F" w:rsidP="0040154B">
      <w:pPr>
        <w:pStyle w:val="Reference"/>
        <w:numPr>
          <w:ilvl w:val="0"/>
          <w:numId w:val="0"/>
        </w:numPr>
        <w:ind w:left="567" w:hanging="567"/>
        <w:rPr>
          <w:rFonts w:ascii="Arial" w:hAnsi="Arial" w:cs="Arial"/>
          <w:sz w:val="20"/>
        </w:rPr>
      </w:pPr>
    </w:p>
    <w:p w14:paraId="5F7733D6" w14:textId="27DF984A" w:rsidR="008312A5" w:rsidRDefault="008312A5" w:rsidP="008312A5">
      <w:pPr>
        <w:pStyle w:val="Heading2"/>
      </w:pPr>
      <w:r>
        <w:lastRenderedPageBreak/>
        <w:t xml:space="preserve">Configurable </w:t>
      </w:r>
      <w:r w:rsidR="00BD2CF5">
        <w:t>LTE-M resource</w:t>
      </w:r>
      <w:r>
        <w:t xml:space="preserve"> </w:t>
      </w:r>
      <w:r w:rsidR="00BD2CF5">
        <w:t>block shift</w:t>
      </w:r>
    </w:p>
    <w:p w14:paraId="44F4BB0D" w14:textId="1CF2D4D6" w:rsidR="00A447A5" w:rsidRDefault="009158BA" w:rsidP="00A447A5">
      <w:pPr>
        <w:rPr>
          <w:rFonts w:ascii="Arial" w:hAnsi="Arial" w:cs="Arial"/>
          <w:sz w:val="20"/>
        </w:rPr>
      </w:pPr>
      <w:r>
        <w:rPr>
          <w:rFonts w:ascii="Arial" w:hAnsi="Arial" w:cs="Arial"/>
          <w:sz w:val="20"/>
        </w:rPr>
        <w:t xml:space="preserve">The contribution listed in the table below </w:t>
      </w:r>
      <w:r w:rsidR="00A447A5">
        <w:rPr>
          <w:rFonts w:ascii="Arial" w:hAnsi="Arial" w:cs="Arial"/>
          <w:sz w:val="20"/>
        </w:rPr>
        <w:t>discuss</w:t>
      </w:r>
      <w:r w:rsidR="00D452BC">
        <w:rPr>
          <w:rFonts w:ascii="Arial" w:hAnsi="Arial" w:cs="Arial"/>
          <w:sz w:val="20"/>
        </w:rPr>
        <w:t>es</w:t>
      </w:r>
      <w:r w:rsidR="00A447A5">
        <w:rPr>
          <w:rFonts w:ascii="Arial" w:hAnsi="Arial" w:cs="Arial"/>
          <w:sz w:val="20"/>
        </w:rPr>
        <w:t xml:space="preserve"> introduction of a configurable </w:t>
      </w:r>
      <w:r w:rsidR="00BD2CF5">
        <w:rPr>
          <w:rFonts w:ascii="Arial" w:hAnsi="Arial" w:cs="Arial"/>
          <w:sz w:val="20"/>
        </w:rPr>
        <w:t>LTE-M resource block</w:t>
      </w:r>
      <w:r w:rsidR="00A447A5">
        <w:rPr>
          <w:rFonts w:ascii="Arial" w:hAnsi="Arial" w:cs="Arial"/>
          <w:sz w:val="20"/>
        </w:rPr>
        <w:t xml:space="preserve"> shift in order to achieve LTE-M </w:t>
      </w:r>
      <w:r w:rsidR="00BD2CF5">
        <w:rPr>
          <w:rFonts w:ascii="Arial" w:hAnsi="Arial" w:cs="Arial"/>
          <w:sz w:val="20"/>
        </w:rPr>
        <w:t>resource block</w:t>
      </w:r>
      <w:r w:rsidR="00A447A5">
        <w:rPr>
          <w:rFonts w:ascii="Arial" w:hAnsi="Arial" w:cs="Arial"/>
          <w:sz w:val="20"/>
        </w:rPr>
        <w:t xml:space="preserve"> alignment with N</w:t>
      </w:r>
      <w:r>
        <w:rPr>
          <w:rFonts w:ascii="Arial" w:hAnsi="Arial" w:cs="Arial"/>
          <w:sz w:val="20"/>
        </w:rPr>
        <w:t>R</w:t>
      </w:r>
      <w:r w:rsidR="00A447A5">
        <w:rPr>
          <w:rFonts w:ascii="Arial" w:hAnsi="Arial" w:cs="Arial"/>
          <w:sz w:val="20"/>
        </w:rPr>
        <w:t>.</w:t>
      </w:r>
    </w:p>
    <w:p w14:paraId="397DDCB0" w14:textId="77777777" w:rsidR="00B10321" w:rsidRPr="00DF475D" w:rsidRDefault="00B10321" w:rsidP="00B10321">
      <w:pPr>
        <w:pStyle w:val="BodyText"/>
        <w:rPr>
          <w:rFonts w:ascii="Arial" w:hAnsi="Arial" w:cs="Arial"/>
          <w:sz w:val="20"/>
          <w:highlight w:val="yellow"/>
        </w:rPr>
      </w:pPr>
      <w:r w:rsidRPr="00DF475D">
        <w:rPr>
          <w:rFonts w:ascii="Arial" w:hAnsi="Arial" w:cs="Arial"/>
          <w:sz w:val="20"/>
          <w:highlight w:val="yellow"/>
        </w:rPr>
        <w:t>Feature lead recommendation:</w:t>
      </w:r>
    </w:p>
    <w:p w14:paraId="46A3F356" w14:textId="6441848A" w:rsidR="005E53AB" w:rsidRPr="00F61A7A" w:rsidRDefault="00F61A7A" w:rsidP="00F61A7A">
      <w:pPr>
        <w:pStyle w:val="BodyText"/>
        <w:numPr>
          <w:ilvl w:val="0"/>
          <w:numId w:val="43"/>
        </w:numPr>
        <w:rPr>
          <w:rFonts w:ascii="Arial" w:hAnsi="Arial" w:cs="Arial"/>
          <w:sz w:val="20"/>
        </w:rPr>
      </w:pPr>
      <w:r>
        <w:rPr>
          <w:rFonts w:ascii="Arial" w:hAnsi="Arial" w:cs="Arial"/>
          <w:sz w:val="20"/>
        </w:rPr>
        <w:t>RAN1 discusses whether to continue to consider configurable LTE-M resource block shift in Rel-16.</w:t>
      </w:r>
    </w:p>
    <w:tbl>
      <w:tblPr>
        <w:tblStyle w:val="TableGrid"/>
        <w:tblW w:w="0" w:type="auto"/>
        <w:tblLook w:val="04A0" w:firstRow="1" w:lastRow="0" w:firstColumn="1" w:lastColumn="0" w:noHBand="0" w:noVBand="1"/>
      </w:tblPr>
      <w:tblGrid>
        <w:gridCol w:w="2830"/>
        <w:gridCol w:w="6799"/>
      </w:tblGrid>
      <w:tr w:rsidR="002946A6" w:rsidRPr="007C2B1D" w14:paraId="506A50AD" w14:textId="77777777" w:rsidTr="00373131">
        <w:tc>
          <w:tcPr>
            <w:tcW w:w="2830" w:type="dxa"/>
          </w:tcPr>
          <w:p w14:paraId="4D0DA6F7" w14:textId="293195A4"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_Ref529801415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[7]</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Qualcomm Incorporated</w:t>
            </w:r>
          </w:p>
        </w:tc>
        <w:tc>
          <w:tcPr>
            <w:tcW w:w="6799" w:type="dxa"/>
          </w:tcPr>
          <w:p w14:paraId="1FCB2C2C" w14:textId="155176FF" w:rsidR="002946A6" w:rsidRPr="003E082E" w:rsidRDefault="000A720F" w:rsidP="00373131">
            <w:pPr>
              <w:rPr>
                <w:rFonts w:ascii="Times New Roman" w:hAnsi="Times New Roman" w:cs="Times New Roman"/>
                <w:sz w:val="20"/>
                <w:szCs w:val="20"/>
              </w:rPr>
            </w:pPr>
            <w:r w:rsidRPr="000A720F">
              <w:rPr>
                <w:rFonts w:ascii="Times New Roman" w:hAnsi="Times New Roman" w:cs="Times New Roman"/>
                <w:sz w:val="20"/>
                <w:szCs w:val="20"/>
              </w:rPr>
              <w:t>Proposal: Support configurable RB shift for LTE-MTC in Rel-16 for coexistence with NR.</w:t>
            </w:r>
          </w:p>
        </w:tc>
      </w:tr>
    </w:tbl>
    <w:p w14:paraId="18FCF654" w14:textId="77777777" w:rsidR="00A447A5" w:rsidRDefault="00A447A5" w:rsidP="00A447A5">
      <w:pPr>
        <w:pStyle w:val="Reference"/>
        <w:numPr>
          <w:ilvl w:val="0"/>
          <w:numId w:val="0"/>
        </w:numPr>
        <w:ind w:left="567" w:hanging="567"/>
        <w:rPr>
          <w:rFonts w:ascii="Arial" w:hAnsi="Arial" w:cs="Arial"/>
          <w:sz w:val="20"/>
        </w:rPr>
      </w:pPr>
    </w:p>
    <w:p w14:paraId="4E968DD4" w14:textId="581FB430" w:rsidR="00B31A27" w:rsidRDefault="00364032" w:rsidP="00B31A27">
      <w:pPr>
        <w:pStyle w:val="Heading1"/>
      </w:pPr>
      <w:r>
        <w:t>Improved</w:t>
      </w:r>
      <w:r w:rsidR="005557BD">
        <w:t xml:space="preserve"> </w:t>
      </w:r>
      <w:r w:rsidR="00097077">
        <w:t>LTE-M r</w:t>
      </w:r>
      <w:r w:rsidR="00857023">
        <w:t xml:space="preserve">esource </w:t>
      </w:r>
      <w:r w:rsidR="00AB7269">
        <w:t>reservation</w:t>
      </w:r>
    </w:p>
    <w:p w14:paraId="7499A3F4" w14:textId="168F2BDC" w:rsidR="0081663E" w:rsidRPr="007C2B1D" w:rsidRDefault="0081663E" w:rsidP="0081663E">
      <w:pPr>
        <w:pStyle w:val="BodyText"/>
        <w:rPr>
          <w:rFonts w:ascii="Arial" w:hAnsi="Arial" w:cs="Arial"/>
          <w:sz w:val="20"/>
        </w:rPr>
      </w:pPr>
      <w:r>
        <w:rPr>
          <w:rFonts w:ascii="Arial" w:hAnsi="Arial" w:cs="Arial"/>
          <w:sz w:val="20"/>
        </w:rPr>
        <w:t xml:space="preserve">RAN1#96bis </w:t>
      </w:r>
      <w:r w:rsidRPr="007C2B1D">
        <w:rPr>
          <w:rFonts w:ascii="Arial" w:hAnsi="Arial" w:cs="Arial"/>
          <w:sz w:val="20"/>
        </w:rPr>
        <w:t>made the following agreement</w:t>
      </w:r>
      <w:r>
        <w:rPr>
          <w:rFonts w:ascii="Arial" w:hAnsi="Arial" w:cs="Arial"/>
          <w:sz w:val="20"/>
        </w:rPr>
        <w:t xml:space="preserve"> regarding improved LTE-M resource reservation:</w:t>
      </w:r>
    </w:p>
    <w:tbl>
      <w:tblPr>
        <w:tblStyle w:val="TableGrid"/>
        <w:tblW w:w="0" w:type="auto"/>
        <w:tblLook w:val="04A0" w:firstRow="1" w:lastRow="0" w:firstColumn="1" w:lastColumn="0" w:noHBand="0" w:noVBand="1"/>
      </w:tblPr>
      <w:tblGrid>
        <w:gridCol w:w="9629"/>
      </w:tblGrid>
      <w:tr w:rsidR="0081663E" w14:paraId="241AA896" w14:textId="77777777" w:rsidTr="0081663E">
        <w:tc>
          <w:tcPr>
            <w:tcW w:w="9629" w:type="dxa"/>
          </w:tcPr>
          <w:p w14:paraId="2DC23C7D" w14:textId="77777777" w:rsidR="0081663E" w:rsidRPr="00B31367" w:rsidRDefault="0081663E" w:rsidP="0081663E">
            <w:pPr>
              <w:spacing w:after="0" w:line="240" w:lineRule="auto"/>
              <w:ind w:left="720" w:hanging="720"/>
              <w:rPr>
                <w:rFonts w:ascii="Times New Roman" w:eastAsia="Batang" w:hAnsi="Times New Roman" w:cs="Times New Roman"/>
                <w:b/>
                <w:sz w:val="20"/>
                <w:szCs w:val="24"/>
                <w:lang w:val="en-GB" w:eastAsia="x-none"/>
              </w:rPr>
            </w:pPr>
            <w:r w:rsidRPr="00B31367">
              <w:rPr>
                <w:rFonts w:ascii="Times New Roman" w:eastAsia="Batang" w:hAnsi="Times New Roman" w:cs="Times New Roman"/>
                <w:b/>
                <w:sz w:val="20"/>
                <w:szCs w:val="24"/>
                <w:lang w:val="en-GB" w:eastAsia="x-none"/>
              </w:rPr>
              <w:t>For further study until RAN1#97</w:t>
            </w:r>
          </w:p>
          <w:p w14:paraId="0F975184" w14:textId="77777777" w:rsidR="0081663E" w:rsidRPr="00B31367" w:rsidRDefault="0081663E" w:rsidP="0081663E">
            <w:pPr>
              <w:numPr>
                <w:ilvl w:val="0"/>
                <w:numId w:val="29"/>
              </w:numPr>
              <w:spacing w:after="0" w:line="240" w:lineRule="auto"/>
              <w:rPr>
                <w:rFonts w:ascii="Times New Roman" w:eastAsia="Times New Roman" w:hAnsi="Times New Roman" w:cs="Times New Roman"/>
                <w:sz w:val="20"/>
                <w:szCs w:val="20"/>
                <w:lang w:val="en-GB"/>
              </w:rPr>
            </w:pPr>
            <w:r w:rsidRPr="00B31367">
              <w:rPr>
                <w:rFonts w:ascii="Times New Roman" w:eastAsia="Times New Roman" w:hAnsi="Times New Roman" w:cs="Times New Roman"/>
                <w:sz w:val="20"/>
                <w:szCs w:val="20"/>
                <w:lang w:val="en-GB"/>
              </w:rPr>
              <w:t>RAN1 continues to study finer-granularity LTE-MTC resource reservation until RAN1#97.</w:t>
            </w:r>
          </w:p>
          <w:p w14:paraId="3B1F0115" w14:textId="77777777" w:rsidR="0081663E" w:rsidRPr="00B31367" w:rsidRDefault="0081663E" w:rsidP="0081663E">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Assume that the LTE-MTC resource reservation should accommodate at least part of NR initial CORESET, NR CSI-RS and NR TRS.</w:t>
            </w:r>
          </w:p>
          <w:p w14:paraId="2F794B16" w14:textId="77777777" w:rsidR="0081663E" w:rsidRPr="00B31367" w:rsidRDefault="0081663E" w:rsidP="0081663E">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eastAsia="zh-CN"/>
              </w:rPr>
              <w:t>The reference case is the existing DL/UL subframe-level LTE-MTC resource reservation.</w:t>
            </w:r>
          </w:p>
          <w:p w14:paraId="5B425745" w14:textId="77777777" w:rsidR="0081663E" w:rsidRPr="00B31367" w:rsidRDefault="0081663E" w:rsidP="0081663E">
            <w:pPr>
              <w:numPr>
                <w:ilvl w:val="1"/>
                <w:numId w:val="29"/>
              </w:numPr>
              <w:spacing w:after="0" w:line="240" w:lineRule="auto"/>
              <w:rPr>
                <w:rFonts w:ascii="Times New Roman" w:eastAsia="Batang" w:hAnsi="Times New Roman" w:cs="Times New Roman"/>
                <w:sz w:val="20"/>
                <w:szCs w:val="24"/>
                <w:lang w:eastAsia="ko-KR"/>
              </w:rPr>
            </w:pPr>
            <w:r w:rsidRPr="00B31367">
              <w:rPr>
                <w:rFonts w:ascii="Times New Roman" w:eastAsia="Batang" w:hAnsi="Times New Roman" w:cs="Times New Roman"/>
                <w:sz w:val="20"/>
                <w:szCs w:val="24"/>
                <w:lang w:val="en-GB" w:eastAsia="zh-CN"/>
              </w:rPr>
              <w:t>Assume that the resource reservation is semi-statically configured. It is FFS whether the eNB can furthermore dynamically override or indicate additional reserved resource via DCI.</w:t>
            </w:r>
          </w:p>
          <w:p w14:paraId="1B1AC876" w14:textId="77777777" w:rsidR="0081663E" w:rsidRPr="00B31367" w:rsidRDefault="0081663E" w:rsidP="0081663E">
            <w:pPr>
              <w:numPr>
                <w:ilvl w:val="2"/>
                <w:numId w:val="29"/>
              </w:numPr>
              <w:spacing w:after="0" w:line="240" w:lineRule="auto"/>
              <w:rPr>
                <w:rFonts w:ascii="Times New Roman" w:eastAsia="Batang" w:hAnsi="Times New Roman" w:cs="Times New Roman"/>
                <w:sz w:val="20"/>
                <w:szCs w:val="24"/>
                <w:lang w:val="en-GB" w:eastAsia="x-none"/>
              </w:rPr>
            </w:pPr>
            <w:r w:rsidRPr="00B31367">
              <w:rPr>
                <w:rFonts w:ascii="Times New Roman" w:eastAsia="Batang" w:hAnsi="Times New Roman" w:cs="Times New Roman"/>
                <w:sz w:val="20"/>
                <w:szCs w:val="24"/>
                <w:lang w:val="en-GB" w:eastAsia="zh-CN"/>
              </w:rPr>
              <w:t>Companies are encouraged to consider the impact on UE complexity for DCI based indication</w:t>
            </w:r>
          </w:p>
          <w:p w14:paraId="6D891AE6" w14:textId="77777777" w:rsidR="0081663E" w:rsidRPr="00B31367" w:rsidRDefault="0081663E" w:rsidP="0081663E">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Consider whether the time-domain granularity of the LTE-MTC valid subframe configuration should be scaled dependent on the NR subcarrier spacing.</w:t>
            </w:r>
          </w:p>
          <w:p w14:paraId="3FD9E70F" w14:textId="77777777" w:rsidR="0081663E" w:rsidRPr="00B31367" w:rsidRDefault="0081663E" w:rsidP="0081663E">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Consider both DL and UL aspects.</w:t>
            </w:r>
          </w:p>
          <w:p w14:paraId="25820DE2" w14:textId="77777777" w:rsidR="0081663E" w:rsidRPr="00B31367" w:rsidRDefault="0081663E" w:rsidP="0081663E">
            <w:pPr>
              <w:numPr>
                <w:ilvl w:val="2"/>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PDSCH, PUSCH, PUCCH, MPDCCH</w:t>
            </w:r>
          </w:p>
          <w:p w14:paraId="40BB7709" w14:textId="77777777" w:rsidR="0081663E" w:rsidRDefault="0081663E" w:rsidP="0081663E">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It is FFS whether and when to drop or postpone LTE-MTC transmissions that would fall into LTE-MTC reserved resources (if introduced).</w:t>
            </w:r>
          </w:p>
          <w:p w14:paraId="50CB58CE" w14:textId="0D924DB3" w:rsidR="00526E13" w:rsidRPr="0081663E" w:rsidRDefault="00526E13" w:rsidP="00526E13">
            <w:pPr>
              <w:spacing w:after="0" w:line="240" w:lineRule="auto"/>
              <w:rPr>
                <w:rFonts w:ascii="Times New Roman" w:eastAsia="Batang" w:hAnsi="Times New Roman" w:cs="Times New Roman"/>
                <w:sz w:val="20"/>
                <w:szCs w:val="24"/>
                <w:lang w:val="en-GB"/>
              </w:rPr>
            </w:pPr>
          </w:p>
        </w:tc>
      </w:tr>
    </w:tbl>
    <w:p w14:paraId="290A56C6" w14:textId="77777777" w:rsidR="0081663E" w:rsidRPr="0081663E" w:rsidRDefault="0081663E" w:rsidP="0081663E">
      <w:pPr>
        <w:rPr>
          <w:lang w:val="en-GB" w:eastAsia="zh-CN"/>
        </w:rPr>
      </w:pPr>
    </w:p>
    <w:p w14:paraId="5DF274EA" w14:textId="39A63539" w:rsidR="00435125" w:rsidRDefault="007D0E39" w:rsidP="00435125">
      <w:pPr>
        <w:pStyle w:val="Heading2"/>
      </w:pPr>
      <w:r>
        <w:t>Conclusion on finer</w:t>
      </w:r>
      <w:r w:rsidR="00881A29">
        <w:t>-</w:t>
      </w:r>
      <w:r w:rsidR="00435125">
        <w:t xml:space="preserve">granularity </w:t>
      </w:r>
      <w:r w:rsidR="005557BD">
        <w:t xml:space="preserve">LTE-M </w:t>
      </w:r>
      <w:r w:rsidR="00435125">
        <w:t>resource reservation</w:t>
      </w:r>
    </w:p>
    <w:p w14:paraId="4F303A63" w14:textId="126DD56D" w:rsidR="00FE1E66" w:rsidRDefault="007A3808" w:rsidP="00FE1E66">
      <w:pPr>
        <w:pStyle w:val="BodyText"/>
        <w:rPr>
          <w:rFonts w:ascii="Arial" w:hAnsi="Arial" w:cs="Arial"/>
          <w:sz w:val="20"/>
        </w:rPr>
      </w:pPr>
      <w:r>
        <w:rPr>
          <w:rFonts w:ascii="Arial" w:hAnsi="Arial" w:cs="Arial"/>
          <w:sz w:val="20"/>
        </w:rPr>
        <w:t xml:space="preserve">The contributions listed in the table below </w:t>
      </w:r>
      <w:r w:rsidR="00AB7269">
        <w:rPr>
          <w:rFonts w:ascii="Arial" w:hAnsi="Arial" w:cs="Arial"/>
          <w:sz w:val="20"/>
        </w:rPr>
        <w:t xml:space="preserve">discuss LTE-M resource </w:t>
      </w:r>
      <w:r w:rsidR="00F654CB">
        <w:rPr>
          <w:rFonts w:ascii="Arial" w:hAnsi="Arial" w:cs="Arial"/>
          <w:sz w:val="20"/>
        </w:rPr>
        <w:t xml:space="preserve">reservation beyond the already supported </w:t>
      </w:r>
      <w:r w:rsidR="00EF2074">
        <w:rPr>
          <w:rFonts w:ascii="Arial" w:hAnsi="Arial" w:cs="Arial"/>
          <w:sz w:val="20"/>
        </w:rPr>
        <w:t xml:space="preserve">LTE-M </w:t>
      </w:r>
      <w:r w:rsidR="00F654CB">
        <w:rPr>
          <w:rFonts w:ascii="Arial" w:hAnsi="Arial" w:cs="Arial"/>
          <w:sz w:val="20"/>
        </w:rPr>
        <w:t>DL/UL subframe bitmap parameters</w:t>
      </w:r>
      <w:r w:rsidR="008220B0">
        <w:rPr>
          <w:rFonts w:ascii="Arial" w:hAnsi="Arial" w:cs="Arial"/>
          <w:sz w:val="20"/>
        </w:rPr>
        <w:t>.</w:t>
      </w:r>
      <w:r w:rsidR="00EF2074">
        <w:rPr>
          <w:rFonts w:ascii="Arial" w:hAnsi="Arial" w:cs="Arial"/>
          <w:sz w:val="20"/>
        </w:rPr>
        <w:t xml:space="preserve"> The potential gains have been described in earlier contributions summarized in </w:t>
      </w:r>
      <w:r w:rsidR="00EF2074">
        <w:rPr>
          <w:rFonts w:ascii="Arial" w:hAnsi="Arial" w:cs="Arial"/>
          <w:sz w:val="20"/>
        </w:rPr>
        <w:fldChar w:fldCharType="begin"/>
      </w:r>
      <w:r w:rsidR="00EF2074">
        <w:rPr>
          <w:rFonts w:ascii="Arial" w:hAnsi="Arial" w:cs="Arial"/>
          <w:sz w:val="20"/>
        </w:rPr>
        <w:instrText xml:space="preserve"> REF _Ref8607434 \r \h </w:instrText>
      </w:r>
      <w:r w:rsidR="00EF2074">
        <w:rPr>
          <w:rFonts w:ascii="Arial" w:hAnsi="Arial" w:cs="Arial"/>
          <w:sz w:val="20"/>
        </w:rPr>
      </w:r>
      <w:r w:rsidR="00EF2074">
        <w:rPr>
          <w:rFonts w:ascii="Arial" w:hAnsi="Arial" w:cs="Arial"/>
          <w:sz w:val="20"/>
        </w:rPr>
        <w:fldChar w:fldCharType="separate"/>
      </w:r>
      <w:r w:rsidR="00DD2571">
        <w:rPr>
          <w:rFonts w:ascii="Arial" w:hAnsi="Arial" w:cs="Arial"/>
          <w:sz w:val="20"/>
        </w:rPr>
        <w:t>[8]</w:t>
      </w:r>
      <w:r w:rsidR="00EF2074">
        <w:rPr>
          <w:rFonts w:ascii="Arial" w:hAnsi="Arial" w:cs="Arial"/>
          <w:sz w:val="20"/>
        </w:rPr>
        <w:fldChar w:fldCharType="end"/>
      </w:r>
      <w:r w:rsidR="00EF2074">
        <w:rPr>
          <w:rFonts w:ascii="Arial" w:hAnsi="Arial" w:cs="Arial"/>
          <w:sz w:val="20"/>
        </w:rPr>
        <w:t>-</w:t>
      </w:r>
      <w:r w:rsidR="00EF2074">
        <w:rPr>
          <w:rFonts w:ascii="Arial" w:hAnsi="Arial" w:cs="Arial"/>
          <w:sz w:val="20"/>
        </w:rPr>
        <w:fldChar w:fldCharType="begin"/>
      </w:r>
      <w:r w:rsidR="00EF2074">
        <w:rPr>
          <w:rFonts w:ascii="Arial" w:hAnsi="Arial" w:cs="Arial"/>
          <w:sz w:val="20"/>
        </w:rPr>
        <w:instrText xml:space="preserve"> REF _Ref8607437 \r \h </w:instrText>
      </w:r>
      <w:r w:rsidR="00EF2074">
        <w:rPr>
          <w:rFonts w:ascii="Arial" w:hAnsi="Arial" w:cs="Arial"/>
          <w:sz w:val="20"/>
        </w:rPr>
      </w:r>
      <w:r w:rsidR="00EF2074">
        <w:rPr>
          <w:rFonts w:ascii="Arial" w:hAnsi="Arial" w:cs="Arial"/>
          <w:sz w:val="20"/>
        </w:rPr>
        <w:fldChar w:fldCharType="separate"/>
      </w:r>
      <w:r w:rsidR="00DD2571">
        <w:rPr>
          <w:rFonts w:ascii="Arial" w:hAnsi="Arial" w:cs="Arial"/>
          <w:sz w:val="20"/>
        </w:rPr>
        <w:t>[12]</w:t>
      </w:r>
      <w:r w:rsidR="00EF2074">
        <w:rPr>
          <w:rFonts w:ascii="Arial" w:hAnsi="Arial" w:cs="Arial"/>
          <w:sz w:val="20"/>
        </w:rPr>
        <w:fldChar w:fldCharType="end"/>
      </w:r>
      <w:r w:rsidR="00EF2074">
        <w:rPr>
          <w:rFonts w:ascii="Arial" w:hAnsi="Arial" w:cs="Arial"/>
          <w:sz w:val="20"/>
        </w:rPr>
        <w:t>.</w:t>
      </w:r>
    </w:p>
    <w:p w14:paraId="6189EEE9" w14:textId="77777777" w:rsidR="00B517C6" w:rsidRPr="00DF475D" w:rsidRDefault="00B517C6" w:rsidP="00B517C6">
      <w:pPr>
        <w:pStyle w:val="BodyText"/>
        <w:rPr>
          <w:rFonts w:ascii="Arial" w:hAnsi="Arial" w:cs="Arial"/>
          <w:sz w:val="20"/>
          <w:highlight w:val="yellow"/>
        </w:rPr>
      </w:pPr>
      <w:r w:rsidRPr="00DF475D">
        <w:rPr>
          <w:rFonts w:ascii="Arial" w:hAnsi="Arial" w:cs="Arial"/>
          <w:sz w:val="20"/>
          <w:highlight w:val="yellow"/>
        </w:rPr>
        <w:t>Feature lead recommendation:</w:t>
      </w:r>
    </w:p>
    <w:p w14:paraId="12573A6B" w14:textId="19ABEA50" w:rsidR="00AA6C50" w:rsidRDefault="00AD34EE" w:rsidP="00AA6C50">
      <w:pPr>
        <w:pStyle w:val="BodyText"/>
        <w:numPr>
          <w:ilvl w:val="0"/>
          <w:numId w:val="29"/>
        </w:numPr>
        <w:rPr>
          <w:rFonts w:ascii="Arial" w:hAnsi="Arial" w:cs="Arial"/>
          <w:sz w:val="20"/>
        </w:rPr>
      </w:pPr>
      <w:r>
        <w:rPr>
          <w:rFonts w:ascii="Arial" w:hAnsi="Arial" w:cs="Arial"/>
          <w:sz w:val="20"/>
        </w:rPr>
        <w:t>RAN1 concludes that finer</w:t>
      </w:r>
      <w:r w:rsidR="00881A29">
        <w:rPr>
          <w:rFonts w:ascii="Arial" w:hAnsi="Arial" w:cs="Arial"/>
          <w:sz w:val="20"/>
        </w:rPr>
        <w:t>-</w:t>
      </w:r>
      <w:r>
        <w:rPr>
          <w:rFonts w:ascii="Arial" w:hAnsi="Arial" w:cs="Arial"/>
          <w:sz w:val="20"/>
        </w:rPr>
        <w:t>granularity LTE-M resource reservation</w:t>
      </w:r>
      <w:r w:rsidR="008302A8">
        <w:rPr>
          <w:rFonts w:ascii="Arial" w:hAnsi="Arial" w:cs="Arial"/>
          <w:sz w:val="20"/>
        </w:rPr>
        <w:t xml:space="preserve"> at least in </w:t>
      </w:r>
      <w:r w:rsidR="0022420C">
        <w:rPr>
          <w:rFonts w:ascii="Arial" w:hAnsi="Arial" w:cs="Arial"/>
          <w:sz w:val="20"/>
        </w:rPr>
        <w:t>DL</w:t>
      </w:r>
      <w:r w:rsidR="000A6EC4">
        <w:rPr>
          <w:rFonts w:ascii="Arial" w:hAnsi="Arial" w:cs="Arial"/>
          <w:sz w:val="20"/>
        </w:rPr>
        <w:t xml:space="preserve"> </w:t>
      </w:r>
      <w:r>
        <w:rPr>
          <w:rFonts w:ascii="Arial" w:hAnsi="Arial" w:cs="Arial"/>
          <w:sz w:val="20"/>
        </w:rPr>
        <w:t>is beneficial for improving the coexistence with NR.</w:t>
      </w:r>
    </w:p>
    <w:p w14:paraId="219D09B4" w14:textId="1AB28044" w:rsidR="00264DC2" w:rsidRPr="00AA6C50" w:rsidRDefault="005406E6" w:rsidP="00AA6C50">
      <w:pPr>
        <w:pStyle w:val="BodyText"/>
        <w:numPr>
          <w:ilvl w:val="0"/>
          <w:numId w:val="29"/>
        </w:numPr>
        <w:rPr>
          <w:rFonts w:ascii="Arial" w:hAnsi="Arial" w:cs="Arial"/>
          <w:sz w:val="20"/>
        </w:rPr>
      </w:pPr>
      <w:r>
        <w:rPr>
          <w:rFonts w:ascii="Arial" w:hAnsi="Arial" w:cs="Arial"/>
          <w:sz w:val="20"/>
        </w:rPr>
        <w:t>Include RAN1 conclusion(s) in LS to RAN</w:t>
      </w:r>
      <w:r w:rsidR="00264DC2">
        <w:rPr>
          <w:rFonts w:ascii="Arial" w:hAnsi="Arial" w:cs="Arial"/>
          <w:sz w:val="20"/>
        </w:rPr>
        <w:t>.</w:t>
      </w:r>
    </w:p>
    <w:tbl>
      <w:tblPr>
        <w:tblStyle w:val="TableGrid"/>
        <w:tblW w:w="0" w:type="auto"/>
        <w:tblLook w:val="04A0" w:firstRow="1" w:lastRow="0" w:firstColumn="1" w:lastColumn="0" w:noHBand="0" w:noVBand="1"/>
      </w:tblPr>
      <w:tblGrid>
        <w:gridCol w:w="2830"/>
        <w:gridCol w:w="6799"/>
      </w:tblGrid>
      <w:tr w:rsidR="002946A6" w:rsidRPr="008A1717" w14:paraId="2428D4CC" w14:textId="77777777" w:rsidTr="00373131">
        <w:tc>
          <w:tcPr>
            <w:tcW w:w="2830" w:type="dxa"/>
          </w:tcPr>
          <w:p w14:paraId="1EC63017" w14:textId="3DA2EA3F"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_Ref1595240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[2]</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Ericsson</w:t>
            </w:r>
          </w:p>
        </w:tc>
        <w:tc>
          <w:tcPr>
            <w:tcW w:w="6799" w:type="dxa"/>
          </w:tcPr>
          <w:p w14:paraId="4EDD0FC8" w14:textId="77777777" w:rsidR="002946A6" w:rsidRDefault="00F20227" w:rsidP="00373131">
            <w:pPr>
              <w:rPr>
                <w:rFonts w:ascii="Times New Roman" w:hAnsi="Times New Roman" w:cs="Times New Roman"/>
                <w:sz w:val="20"/>
                <w:lang w:val="en-GB" w:eastAsia="zh-CN"/>
              </w:rPr>
            </w:pPr>
            <w:r w:rsidRPr="00F20227">
              <w:rPr>
                <w:rFonts w:ascii="Times New Roman" w:hAnsi="Times New Roman" w:cs="Times New Roman"/>
                <w:sz w:val="20"/>
                <w:lang w:val="en-GB" w:eastAsia="zh-CN"/>
              </w:rPr>
              <w:t>Observation</w:t>
            </w:r>
            <w:r>
              <w:rPr>
                <w:rFonts w:ascii="Times New Roman" w:hAnsi="Times New Roman" w:cs="Times New Roman"/>
                <w:sz w:val="20"/>
                <w:lang w:val="en-GB" w:eastAsia="zh-CN"/>
              </w:rPr>
              <w:t xml:space="preserve">: </w:t>
            </w:r>
            <w:r w:rsidRPr="00F20227">
              <w:rPr>
                <w:rFonts w:ascii="Times New Roman" w:hAnsi="Times New Roman" w:cs="Times New Roman"/>
                <w:sz w:val="20"/>
                <w:lang w:val="en-GB" w:eastAsia="zh-CN"/>
              </w:rPr>
              <w:t>LTE-M resource reservation with finer granularity than today’s LTE-M DL and UL subframe bitmaps may be beneficial for enabling rate matching around NR resources, such as initial CORESET and SSB.</w:t>
            </w:r>
          </w:p>
          <w:p w14:paraId="11B34041" w14:textId="77777777" w:rsidR="002C442F" w:rsidRPr="00605125" w:rsidRDefault="002C442F" w:rsidP="002C442F">
            <w:pPr>
              <w:rPr>
                <w:rFonts w:ascii="Times New Roman" w:hAnsi="Times New Roman" w:cs="Times New Roman"/>
                <w:sz w:val="20"/>
                <w:lang w:val="en-GB" w:eastAsia="zh-CN"/>
              </w:rPr>
            </w:pPr>
            <w:r w:rsidRPr="00605125">
              <w:rPr>
                <w:rFonts w:ascii="Times New Roman" w:hAnsi="Times New Roman" w:cs="Times New Roman"/>
                <w:sz w:val="20"/>
                <w:lang w:val="en-GB" w:eastAsia="zh-CN"/>
              </w:rPr>
              <w:t>Observation</w:t>
            </w:r>
            <w:r>
              <w:rPr>
                <w:rFonts w:ascii="Times New Roman" w:hAnsi="Times New Roman" w:cs="Times New Roman"/>
                <w:sz w:val="20"/>
                <w:lang w:val="en-GB" w:eastAsia="zh-CN"/>
              </w:rPr>
              <w:t xml:space="preserve">: </w:t>
            </w:r>
            <w:r w:rsidRPr="00605125">
              <w:rPr>
                <w:rFonts w:ascii="Times New Roman" w:hAnsi="Times New Roman" w:cs="Times New Roman"/>
                <w:sz w:val="20"/>
                <w:lang w:val="en-GB" w:eastAsia="zh-CN"/>
              </w:rPr>
              <w:t>The performance improvement of LTE-M by adopting slot-level or symbol-level (instead of subframe-level) resource reservation depends on the CORESET and SSB configurations as well as the position of LTE-M carrier inside NR.</w:t>
            </w:r>
          </w:p>
          <w:p w14:paraId="438015C7" w14:textId="77777777" w:rsidR="002C442F" w:rsidRDefault="002C442F" w:rsidP="00373131">
            <w:pPr>
              <w:rPr>
                <w:rFonts w:ascii="Times New Roman" w:hAnsi="Times New Roman" w:cs="Times New Roman"/>
                <w:sz w:val="20"/>
                <w:lang w:val="en-GB" w:eastAsia="zh-CN"/>
              </w:rPr>
            </w:pPr>
            <w:r w:rsidRPr="00605125">
              <w:rPr>
                <w:rFonts w:ascii="Times New Roman" w:hAnsi="Times New Roman" w:cs="Times New Roman"/>
                <w:sz w:val="20"/>
                <w:lang w:val="en-GB" w:eastAsia="zh-CN"/>
              </w:rPr>
              <w:lastRenderedPageBreak/>
              <w:t>Observation</w:t>
            </w:r>
            <w:r>
              <w:rPr>
                <w:rFonts w:ascii="Times New Roman" w:hAnsi="Times New Roman" w:cs="Times New Roman"/>
                <w:sz w:val="20"/>
                <w:lang w:val="en-GB" w:eastAsia="zh-CN"/>
              </w:rPr>
              <w:t xml:space="preserve">: </w:t>
            </w:r>
            <w:r w:rsidRPr="00605125">
              <w:rPr>
                <w:rFonts w:ascii="Times New Roman" w:hAnsi="Times New Roman" w:cs="Times New Roman"/>
                <w:sz w:val="20"/>
                <w:lang w:val="en-GB" w:eastAsia="zh-CN"/>
              </w:rPr>
              <w:t>The gain of using smaller LTE-M resource reservation granularity than a subframe-level can be significant.</w:t>
            </w:r>
          </w:p>
          <w:p w14:paraId="23D04CD6" w14:textId="77777777" w:rsidR="008B512E" w:rsidRPr="004E5216" w:rsidRDefault="008B512E" w:rsidP="008B512E">
            <w:pPr>
              <w:rPr>
                <w:rFonts w:ascii="Times New Roman" w:hAnsi="Times New Roman" w:cs="Times New Roman"/>
                <w:sz w:val="20"/>
                <w:lang w:val="en-GB" w:eastAsia="zh-CN"/>
              </w:rPr>
            </w:pPr>
            <w:r w:rsidRPr="004E5216">
              <w:rPr>
                <w:rFonts w:ascii="Times New Roman" w:hAnsi="Times New Roman" w:cs="Times New Roman"/>
                <w:sz w:val="20"/>
                <w:lang w:val="en-GB" w:eastAsia="zh-CN"/>
              </w:rPr>
              <w:t>Observatio</w:t>
            </w:r>
            <w:r>
              <w:rPr>
                <w:rFonts w:ascii="Times New Roman" w:hAnsi="Times New Roman" w:cs="Times New Roman"/>
                <w:sz w:val="20"/>
                <w:lang w:val="en-GB" w:eastAsia="zh-CN"/>
              </w:rPr>
              <w:t xml:space="preserve">n: </w:t>
            </w:r>
            <w:r w:rsidRPr="004E5216">
              <w:rPr>
                <w:rFonts w:ascii="Times New Roman" w:hAnsi="Times New Roman" w:cs="Times New Roman"/>
                <w:sz w:val="20"/>
                <w:lang w:val="en-GB" w:eastAsia="zh-CN"/>
              </w:rPr>
              <w:t>Overlap between NR PRACH and LTE-M in uplink can be avoided in frequency domain or, if needed, by using UL invalid LTE-M subframe configuration.</w:t>
            </w:r>
          </w:p>
          <w:p w14:paraId="342FADBC" w14:textId="0920638B" w:rsidR="008B512E" w:rsidRPr="003E082E" w:rsidRDefault="008B512E" w:rsidP="008B512E">
            <w:pPr>
              <w:rPr>
                <w:rFonts w:ascii="Times New Roman" w:hAnsi="Times New Roman" w:cs="Times New Roman"/>
                <w:sz w:val="20"/>
                <w:lang w:val="en-GB" w:eastAsia="zh-CN"/>
              </w:rPr>
            </w:pPr>
            <w:r w:rsidRPr="004E5216">
              <w:rPr>
                <w:rFonts w:ascii="Times New Roman" w:hAnsi="Times New Roman" w:cs="Times New Roman"/>
                <w:sz w:val="20"/>
                <w:lang w:val="en-GB" w:eastAsia="zh-CN"/>
              </w:rPr>
              <w:t>Proposal</w:t>
            </w:r>
            <w:r>
              <w:rPr>
                <w:rFonts w:ascii="Times New Roman" w:hAnsi="Times New Roman" w:cs="Times New Roman"/>
                <w:sz w:val="20"/>
                <w:lang w:val="en-GB" w:eastAsia="zh-CN"/>
              </w:rPr>
              <w:t xml:space="preserve">: </w:t>
            </w:r>
            <w:r w:rsidRPr="004E5216">
              <w:rPr>
                <w:rFonts w:ascii="Times New Roman" w:hAnsi="Times New Roman" w:cs="Times New Roman"/>
                <w:sz w:val="20"/>
                <w:lang w:val="en-GB" w:eastAsia="zh-CN"/>
              </w:rPr>
              <w:t>No finer resource reservation granularity than subframe-level is needed for protecting NR PRACH in uplink.</w:t>
            </w:r>
          </w:p>
        </w:tc>
      </w:tr>
      <w:tr w:rsidR="002946A6" w:rsidRPr="008A1717" w14:paraId="4002B34D" w14:textId="77777777" w:rsidTr="00373131">
        <w:tc>
          <w:tcPr>
            <w:tcW w:w="2830" w:type="dxa"/>
          </w:tcPr>
          <w:p w14:paraId="4D78653C" w14:textId="0339C9A0"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lastRenderedPageBreak/>
              <w:fldChar w:fldCharType="begin"/>
            </w:r>
            <w:r>
              <w:rPr>
                <w:rFonts w:ascii="Times New Roman" w:hAnsi="Times New Roman" w:cs="Times New Roman"/>
                <w:sz w:val="20"/>
                <w:lang w:val="en-GB" w:eastAsia="zh-CN"/>
              </w:rPr>
              <w:instrText xml:space="preserve"> REF _Ref5045587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Huawei, HiSilicon</w:t>
            </w:r>
          </w:p>
        </w:tc>
        <w:tc>
          <w:tcPr>
            <w:tcW w:w="6799" w:type="dxa"/>
          </w:tcPr>
          <w:p w14:paraId="1ED08172" w14:textId="43B6580E" w:rsidR="002946A6" w:rsidRPr="003E082E" w:rsidRDefault="00FE1163" w:rsidP="00600A3F">
            <w:pPr>
              <w:rPr>
                <w:rFonts w:ascii="Times New Roman" w:hAnsi="Times New Roman" w:cs="Times New Roman"/>
                <w:sz w:val="20"/>
                <w:lang w:val="en-GB" w:eastAsia="zh-CN"/>
              </w:rPr>
            </w:pPr>
            <w:r w:rsidRPr="00600A3F">
              <w:rPr>
                <w:rFonts w:ascii="Times New Roman" w:hAnsi="Times New Roman" w:cs="Times New Roman"/>
                <w:sz w:val="20"/>
                <w:lang w:val="en-GB" w:eastAsia="zh-CN"/>
              </w:rPr>
              <w:t>Proposal: Resource reservation mechanism can be applied to PDSCH/PUSCH/MPDCCH/PUCCH.</w:t>
            </w:r>
          </w:p>
        </w:tc>
      </w:tr>
      <w:tr w:rsidR="002946A6" w:rsidRPr="008A1717" w14:paraId="611CAD59" w14:textId="77777777" w:rsidTr="00373131">
        <w:tc>
          <w:tcPr>
            <w:tcW w:w="2830" w:type="dxa"/>
          </w:tcPr>
          <w:p w14:paraId="42A5765A" w14:textId="11CBD0EA"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_Ref5045604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[4]</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ZTE</w:t>
            </w:r>
          </w:p>
        </w:tc>
        <w:tc>
          <w:tcPr>
            <w:tcW w:w="6799" w:type="dxa"/>
          </w:tcPr>
          <w:p w14:paraId="60BA2B51" w14:textId="0FDB30B6" w:rsidR="00421BF2" w:rsidRPr="00237F02" w:rsidRDefault="00421BF2" w:rsidP="00373131">
            <w:pPr>
              <w:rPr>
                <w:rFonts w:ascii="Times New Roman" w:hAnsi="Times New Roman" w:cs="Times New Roman"/>
                <w:sz w:val="20"/>
                <w:lang w:eastAsia="zh-CN"/>
              </w:rPr>
            </w:pPr>
            <w:r w:rsidRPr="00421BF2">
              <w:rPr>
                <w:rFonts w:ascii="Times New Roman" w:hAnsi="Times New Roman" w:cs="Times New Roman"/>
                <w:sz w:val="20"/>
                <w:lang w:eastAsia="zh-CN"/>
              </w:rPr>
              <w:t>Proposal: To improve the coexistence performance of LTE-MTC with NR, symbol level resource reservation in LTE-MTC can be considered.</w:t>
            </w:r>
          </w:p>
        </w:tc>
      </w:tr>
      <w:tr w:rsidR="002946A6" w:rsidRPr="008A1717" w14:paraId="01D4D72A" w14:textId="77777777" w:rsidTr="00373131">
        <w:tc>
          <w:tcPr>
            <w:tcW w:w="2830" w:type="dxa"/>
          </w:tcPr>
          <w:p w14:paraId="243310E4" w14:textId="37F65EE1"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_Ref5044500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[5]</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LG Electronics</w:t>
            </w:r>
          </w:p>
        </w:tc>
        <w:tc>
          <w:tcPr>
            <w:tcW w:w="6799" w:type="dxa"/>
          </w:tcPr>
          <w:p w14:paraId="33FB0E73" w14:textId="2F7DBFAE" w:rsidR="00D41D15" w:rsidRPr="00D41D15" w:rsidRDefault="00D41D15" w:rsidP="00D41D15">
            <w:pPr>
              <w:rPr>
                <w:rFonts w:ascii="Times New Roman" w:hAnsi="Times New Roman" w:cs="Times New Roman"/>
                <w:sz w:val="20"/>
                <w:szCs w:val="20"/>
              </w:rPr>
            </w:pPr>
            <w:r w:rsidRPr="00D41D15">
              <w:rPr>
                <w:rFonts w:ascii="Times New Roman" w:hAnsi="Times New Roman" w:cs="Times New Roman"/>
                <w:sz w:val="20"/>
                <w:szCs w:val="20"/>
              </w:rPr>
              <w:t>Observation: The followings may have significant impacts on the current LTE-MTC eNB and UE behavior, and trade off complexity and benefits from those have not been thoroughly studied.</w:t>
            </w:r>
          </w:p>
          <w:p w14:paraId="561BC156" w14:textId="5D87FB69" w:rsidR="002946A6" w:rsidRPr="00F708EC" w:rsidRDefault="00D41D15" w:rsidP="00F708EC">
            <w:pPr>
              <w:pStyle w:val="ListParagraph"/>
              <w:numPr>
                <w:ilvl w:val="0"/>
                <w:numId w:val="49"/>
              </w:numPr>
              <w:rPr>
                <w:rFonts w:ascii="Times New Roman" w:hAnsi="Times New Roman" w:cs="Times New Roman"/>
                <w:sz w:val="20"/>
                <w:szCs w:val="20"/>
              </w:rPr>
            </w:pPr>
            <w:r w:rsidRPr="00970457">
              <w:rPr>
                <w:rFonts w:ascii="Times New Roman" w:hAnsi="Times New Roman" w:cs="Times New Roman"/>
                <w:sz w:val="20"/>
                <w:szCs w:val="20"/>
              </w:rPr>
              <w:t>Whether and how to support LTE-MTC transmission in a portion of the subframe</w:t>
            </w:r>
          </w:p>
        </w:tc>
      </w:tr>
      <w:tr w:rsidR="002946A6" w:rsidRPr="007C2B1D" w14:paraId="6464C51A" w14:textId="77777777" w:rsidTr="00373131">
        <w:tc>
          <w:tcPr>
            <w:tcW w:w="2830" w:type="dxa"/>
          </w:tcPr>
          <w:p w14:paraId="5D4F0E58" w14:textId="57F3F6C2"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_Ref8595986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[6]</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Nokia, Nokia Shanghai Bell</w:t>
            </w:r>
          </w:p>
        </w:tc>
        <w:tc>
          <w:tcPr>
            <w:tcW w:w="6799" w:type="dxa"/>
          </w:tcPr>
          <w:p w14:paraId="04EBB95E" w14:textId="7114EA31" w:rsidR="00201BF4" w:rsidRPr="00201BF4" w:rsidRDefault="00201BF4" w:rsidP="00201BF4">
            <w:pPr>
              <w:rPr>
                <w:rFonts w:ascii="Times New Roman" w:hAnsi="Times New Roman" w:cs="Times New Roman"/>
                <w:sz w:val="20"/>
                <w:szCs w:val="20"/>
              </w:rPr>
            </w:pPr>
            <w:r w:rsidRPr="00201BF4">
              <w:rPr>
                <w:rFonts w:ascii="Times New Roman" w:hAnsi="Times New Roman" w:cs="Times New Roman"/>
                <w:sz w:val="20"/>
                <w:szCs w:val="20"/>
              </w:rPr>
              <w:t>Proposal: eMTC reserved resource should be supported to improve coexistence performance with NR.</w:t>
            </w:r>
          </w:p>
          <w:p w14:paraId="3CE626A1" w14:textId="58C2904D" w:rsidR="002946A6" w:rsidRPr="003E082E" w:rsidRDefault="00201BF4" w:rsidP="00201BF4">
            <w:pPr>
              <w:rPr>
                <w:rFonts w:ascii="Times New Roman" w:hAnsi="Times New Roman" w:cs="Times New Roman"/>
                <w:sz w:val="20"/>
                <w:szCs w:val="20"/>
              </w:rPr>
            </w:pPr>
            <w:r w:rsidRPr="00201BF4">
              <w:rPr>
                <w:rFonts w:ascii="Times New Roman" w:hAnsi="Times New Roman" w:cs="Times New Roman"/>
                <w:sz w:val="20"/>
                <w:szCs w:val="20"/>
              </w:rPr>
              <w:t>Proposal: Invalid subframe bitmap can be used by legacy UEs to avoid NR transmissions and eMTC reserved resources.</w:t>
            </w:r>
          </w:p>
        </w:tc>
      </w:tr>
      <w:tr w:rsidR="002946A6" w:rsidRPr="007C2B1D" w14:paraId="08114C87" w14:textId="77777777" w:rsidTr="00373131">
        <w:tc>
          <w:tcPr>
            <w:tcW w:w="2830" w:type="dxa"/>
          </w:tcPr>
          <w:p w14:paraId="08EA75C1" w14:textId="6A79E08C"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_Ref529801415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[7]</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Qualcomm Incorporated</w:t>
            </w:r>
          </w:p>
        </w:tc>
        <w:tc>
          <w:tcPr>
            <w:tcW w:w="6799" w:type="dxa"/>
          </w:tcPr>
          <w:p w14:paraId="25B41188" w14:textId="06FB6469" w:rsidR="002946A6" w:rsidRPr="003E082E" w:rsidRDefault="002C1306" w:rsidP="00373131">
            <w:pPr>
              <w:rPr>
                <w:rFonts w:ascii="Times New Roman" w:hAnsi="Times New Roman" w:cs="Times New Roman"/>
                <w:sz w:val="20"/>
                <w:szCs w:val="20"/>
              </w:rPr>
            </w:pPr>
            <w:r w:rsidRPr="002C1306">
              <w:rPr>
                <w:rFonts w:ascii="Times New Roman" w:hAnsi="Times New Roman" w:cs="Times New Roman"/>
                <w:sz w:val="20"/>
                <w:szCs w:val="20"/>
              </w:rPr>
              <w:t>Proposal: Support finer granularity resource reservation for LTE-MTC in Rel-16.</w:t>
            </w:r>
          </w:p>
        </w:tc>
      </w:tr>
    </w:tbl>
    <w:p w14:paraId="3A2C47B1" w14:textId="0CD85476" w:rsidR="00FE1E66" w:rsidRDefault="00FE1E66" w:rsidP="00FE1E66">
      <w:pPr>
        <w:pStyle w:val="Reference"/>
        <w:numPr>
          <w:ilvl w:val="0"/>
          <w:numId w:val="0"/>
        </w:numPr>
        <w:ind w:left="567" w:hanging="567"/>
        <w:rPr>
          <w:rFonts w:ascii="Arial" w:hAnsi="Arial" w:cs="Arial"/>
          <w:sz w:val="20"/>
        </w:rPr>
      </w:pPr>
    </w:p>
    <w:p w14:paraId="718A58BF" w14:textId="5136C99F" w:rsidR="00D46193" w:rsidRDefault="00D46193" w:rsidP="00D46193">
      <w:pPr>
        <w:pStyle w:val="Heading2"/>
      </w:pPr>
      <w:r>
        <w:t xml:space="preserve">LTE-M </w:t>
      </w:r>
      <w:r w:rsidR="00791202">
        <w:t>reserved resource granularity</w:t>
      </w:r>
      <w:r w:rsidR="005452B7">
        <w:t xml:space="preserve"> when NR SCS = 15 kHz</w:t>
      </w:r>
    </w:p>
    <w:p w14:paraId="637B969D" w14:textId="5C1CBBCB" w:rsidR="00D46193" w:rsidRDefault="00D46193" w:rsidP="00D46193">
      <w:pPr>
        <w:pStyle w:val="BodyText"/>
        <w:rPr>
          <w:rFonts w:ascii="Arial" w:hAnsi="Arial" w:cs="Arial"/>
          <w:sz w:val="20"/>
        </w:rPr>
      </w:pPr>
      <w:r>
        <w:rPr>
          <w:rFonts w:ascii="Arial" w:hAnsi="Arial" w:cs="Arial"/>
          <w:sz w:val="20"/>
        </w:rPr>
        <w:t xml:space="preserve">The contributions listed in the table below discuss </w:t>
      </w:r>
      <w:r w:rsidR="008C5543">
        <w:rPr>
          <w:rFonts w:ascii="Arial" w:hAnsi="Arial" w:cs="Arial"/>
          <w:sz w:val="20"/>
        </w:rPr>
        <w:t>the time granularity of the finer</w:t>
      </w:r>
      <w:r w:rsidR="00881A29">
        <w:rPr>
          <w:rFonts w:ascii="Arial" w:hAnsi="Arial" w:cs="Arial"/>
          <w:sz w:val="20"/>
        </w:rPr>
        <w:t>-</w:t>
      </w:r>
      <w:r w:rsidR="008C5543">
        <w:rPr>
          <w:rFonts w:ascii="Arial" w:hAnsi="Arial" w:cs="Arial"/>
          <w:sz w:val="20"/>
        </w:rPr>
        <w:t>granularity LTE-M resource reservation (if specified)</w:t>
      </w:r>
      <w:r>
        <w:rPr>
          <w:rFonts w:ascii="Arial" w:hAnsi="Arial" w:cs="Arial"/>
          <w:sz w:val="20"/>
        </w:rPr>
        <w:t>.</w:t>
      </w:r>
    </w:p>
    <w:p w14:paraId="174DEF5C" w14:textId="77777777" w:rsidR="00D46193" w:rsidRPr="00DF475D" w:rsidRDefault="00D46193" w:rsidP="00D46193">
      <w:pPr>
        <w:pStyle w:val="BodyText"/>
        <w:rPr>
          <w:rFonts w:ascii="Arial" w:hAnsi="Arial" w:cs="Arial"/>
          <w:sz w:val="20"/>
          <w:highlight w:val="yellow"/>
        </w:rPr>
      </w:pPr>
      <w:r w:rsidRPr="00DF475D">
        <w:rPr>
          <w:rFonts w:ascii="Arial" w:hAnsi="Arial" w:cs="Arial"/>
          <w:sz w:val="20"/>
          <w:highlight w:val="yellow"/>
        </w:rPr>
        <w:t>Feature lead recommendation:</w:t>
      </w:r>
    </w:p>
    <w:p w14:paraId="23E46C99" w14:textId="43DF96CF" w:rsidR="00D46193" w:rsidRDefault="00B12A08" w:rsidP="00D46193">
      <w:pPr>
        <w:pStyle w:val="BodyText"/>
        <w:numPr>
          <w:ilvl w:val="0"/>
          <w:numId w:val="29"/>
        </w:numPr>
        <w:rPr>
          <w:rFonts w:ascii="Arial" w:hAnsi="Arial" w:cs="Arial"/>
          <w:sz w:val="20"/>
        </w:rPr>
      </w:pPr>
      <w:r>
        <w:rPr>
          <w:rFonts w:ascii="Arial" w:hAnsi="Arial" w:cs="Arial"/>
          <w:sz w:val="20"/>
        </w:rPr>
        <w:t>At least one of slot</w:t>
      </w:r>
      <w:r w:rsidR="001D5B76">
        <w:rPr>
          <w:rFonts w:ascii="Arial" w:hAnsi="Arial" w:cs="Arial"/>
          <w:sz w:val="20"/>
        </w:rPr>
        <w:t>-</w:t>
      </w:r>
      <w:r>
        <w:rPr>
          <w:rFonts w:ascii="Arial" w:hAnsi="Arial" w:cs="Arial"/>
          <w:sz w:val="20"/>
        </w:rPr>
        <w:t>level and s</w:t>
      </w:r>
      <w:r w:rsidR="001D5B76">
        <w:rPr>
          <w:rFonts w:ascii="Arial" w:hAnsi="Arial" w:cs="Arial"/>
          <w:sz w:val="20"/>
        </w:rPr>
        <w:t>ymbol-</w:t>
      </w:r>
      <w:r>
        <w:rPr>
          <w:rFonts w:ascii="Arial" w:hAnsi="Arial" w:cs="Arial"/>
          <w:sz w:val="20"/>
        </w:rPr>
        <w:t xml:space="preserve">level </w:t>
      </w:r>
      <w:r w:rsidR="001D5B76">
        <w:rPr>
          <w:rFonts w:ascii="Arial" w:hAnsi="Arial" w:cs="Arial"/>
          <w:sz w:val="20"/>
        </w:rPr>
        <w:t xml:space="preserve">granularity </w:t>
      </w:r>
      <w:r>
        <w:rPr>
          <w:rFonts w:ascii="Arial" w:hAnsi="Arial" w:cs="Arial"/>
          <w:sz w:val="20"/>
        </w:rPr>
        <w:t>is considered for LTE-M resource reservation</w:t>
      </w:r>
      <w:r w:rsidR="00D46193">
        <w:rPr>
          <w:rFonts w:ascii="Arial" w:hAnsi="Arial" w:cs="Arial"/>
          <w:sz w:val="20"/>
        </w:rPr>
        <w:t>.</w:t>
      </w:r>
    </w:p>
    <w:tbl>
      <w:tblPr>
        <w:tblStyle w:val="TableGrid"/>
        <w:tblW w:w="0" w:type="auto"/>
        <w:tblLook w:val="04A0" w:firstRow="1" w:lastRow="0" w:firstColumn="1" w:lastColumn="0" w:noHBand="0" w:noVBand="1"/>
      </w:tblPr>
      <w:tblGrid>
        <w:gridCol w:w="2830"/>
        <w:gridCol w:w="6799"/>
      </w:tblGrid>
      <w:tr w:rsidR="00D46193" w:rsidRPr="008A1717" w14:paraId="79CC78C0" w14:textId="77777777" w:rsidTr="000937A5">
        <w:tc>
          <w:tcPr>
            <w:tcW w:w="2830" w:type="dxa"/>
          </w:tcPr>
          <w:p w14:paraId="0D26EAB3" w14:textId="3302A5C8" w:rsidR="00D46193" w:rsidRPr="003E082E" w:rsidRDefault="00D46193"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_Ref1595240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[2]</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Ericsson</w:t>
            </w:r>
          </w:p>
        </w:tc>
        <w:tc>
          <w:tcPr>
            <w:tcW w:w="6799" w:type="dxa"/>
          </w:tcPr>
          <w:p w14:paraId="29068296" w14:textId="089B2345" w:rsidR="00D46193" w:rsidRPr="003E082E" w:rsidRDefault="00605125" w:rsidP="00605125">
            <w:pPr>
              <w:rPr>
                <w:rFonts w:ascii="Times New Roman" w:hAnsi="Times New Roman" w:cs="Times New Roman"/>
                <w:sz w:val="20"/>
                <w:lang w:val="en-GB" w:eastAsia="zh-CN"/>
              </w:rPr>
            </w:pPr>
            <w:r w:rsidRPr="00605125">
              <w:rPr>
                <w:rFonts w:ascii="Times New Roman" w:hAnsi="Times New Roman" w:cs="Times New Roman"/>
                <w:sz w:val="20"/>
                <w:lang w:eastAsia="zh-CN"/>
              </w:rPr>
              <w:t>Proposal: At least slot-level LTE-M resource reservation should be introduced to help avoid overlap between LTE-M and NR CORESET/SSB. It is FFS whether to use a bitmap parameter or some other signaling means.</w:t>
            </w:r>
          </w:p>
        </w:tc>
      </w:tr>
      <w:tr w:rsidR="00D46193" w:rsidRPr="008A1717" w14:paraId="1C98F09B" w14:textId="77777777" w:rsidTr="000937A5">
        <w:tc>
          <w:tcPr>
            <w:tcW w:w="2830" w:type="dxa"/>
          </w:tcPr>
          <w:p w14:paraId="344149CC" w14:textId="70A7B1D7" w:rsidR="00D46193" w:rsidRPr="003E082E" w:rsidRDefault="00D46193"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_Ref5045587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Huawei, HiSilicon</w:t>
            </w:r>
          </w:p>
        </w:tc>
        <w:tc>
          <w:tcPr>
            <w:tcW w:w="6799" w:type="dxa"/>
          </w:tcPr>
          <w:p w14:paraId="47B8EE40" w14:textId="5B4C6616" w:rsidR="00D46193" w:rsidRPr="003E082E" w:rsidRDefault="00CB2F22" w:rsidP="000937A5">
            <w:pPr>
              <w:rPr>
                <w:rFonts w:ascii="Times New Roman" w:hAnsi="Times New Roman" w:cs="Times New Roman"/>
                <w:sz w:val="20"/>
                <w:lang w:val="en-GB" w:eastAsia="zh-CN"/>
              </w:rPr>
            </w:pPr>
            <w:r>
              <w:rPr>
                <w:rFonts w:ascii="Times New Roman" w:hAnsi="Times New Roman" w:cs="Times New Roman"/>
                <w:sz w:val="20"/>
                <w:lang w:val="en-GB" w:eastAsia="zh-CN"/>
              </w:rPr>
              <w:t>Proposal: T</w:t>
            </w:r>
            <w:r w:rsidRPr="00600A3F">
              <w:rPr>
                <w:rFonts w:ascii="Times New Roman" w:hAnsi="Times New Roman" w:cs="Times New Roman"/>
                <w:sz w:val="20"/>
                <w:lang w:val="en-GB" w:eastAsia="zh-CN"/>
              </w:rPr>
              <w:t>he reserved resource granularity is FFS</w:t>
            </w:r>
            <w:r w:rsidR="009707A1">
              <w:rPr>
                <w:rFonts w:ascii="Times New Roman" w:hAnsi="Times New Roman" w:cs="Times New Roman"/>
                <w:sz w:val="20"/>
                <w:lang w:val="en-GB" w:eastAsia="zh-CN"/>
              </w:rPr>
              <w:t>.</w:t>
            </w:r>
          </w:p>
        </w:tc>
      </w:tr>
      <w:tr w:rsidR="00D46193" w:rsidRPr="008A1717" w14:paraId="088480CE" w14:textId="77777777" w:rsidTr="000937A5">
        <w:tc>
          <w:tcPr>
            <w:tcW w:w="2830" w:type="dxa"/>
          </w:tcPr>
          <w:p w14:paraId="32533E9B" w14:textId="004CC38A" w:rsidR="00D46193" w:rsidRPr="003E082E" w:rsidRDefault="00D46193"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_Ref5045604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[4]</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ZTE</w:t>
            </w:r>
          </w:p>
        </w:tc>
        <w:tc>
          <w:tcPr>
            <w:tcW w:w="6799" w:type="dxa"/>
          </w:tcPr>
          <w:p w14:paraId="3E95810C" w14:textId="1E40833D" w:rsidR="00106CC4" w:rsidRPr="00055405" w:rsidRDefault="005E350A" w:rsidP="00055405">
            <w:pPr>
              <w:rPr>
                <w:rFonts w:ascii="Times New Roman" w:hAnsi="Times New Roman" w:cs="Times New Roman"/>
                <w:sz w:val="20"/>
                <w:lang w:eastAsia="zh-CN"/>
              </w:rPr>
            </w:pPr>
            <w:r w:rsidRPr="00E14296">
              <w:rPr>
                <w:rFonts w:ascii="Times New Roman" w:hAnsi="Times New Roman" w:cs="Times New Roman"/>
                <w:sz w:val="20"/>
                <w:lang w:eastAsia="zh-CN"/>
              </w:rPr>
              <w:t>Proposal: To improve the coexistence performance of LTE-MTC with NR, symbol level resource reservation in LTE-MTC can be considered.</w:t>
            </w:r>
          </w:p>
        </w:tc>
      </w:tr>
      <w:tr w:rsidR="00D46193" w:rsidRPr="008A1717" w14:paraId="24C29D1C" w14:textId="77777777" w:rsidTr="000937A5">
        <w:tc>
          <w:tcPr>
            <w:tcW w:w="2830" w:type="dxa"/>
          </w:tcPr>
          <w:p w14:paraId="5E4E1156" w14:textId="4D516817" w:rsidR="00D46193" w:rsidRPr="003E082E" w:rsidRDefault="00D46193"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_Ref5044500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[5]</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LG Electronics</w:t>
            </w:r>
          </w:p>
        </w:tc>
        <w:tc>
          <w:tcPr>
            <w:tcW w:w="6799" w:type="dxa"/>
          </w:tcPr>
          <w:p w14:paraId="4D4130D0" w14:textId="77777777" w:rsidR="006D1DA7" w:rsidRPr="00D41D15" w:rsidRDefault="006D1DA7" w:rsidP="006D1DA7">
            <w:pPr>
              <w:rPr>
                <w:rFonts w:ascii="Times New Roman" w:hAnsi="Times New Roman" w:cs="Times New Roman"/>
                <w:sz w:val="20"/>
                <w:szCs w:val="20"/>
              </w:rPr>
            </w:pPr>
            <w:r w:rsidRPr="00D41D15">
              <w:rPr>
                <w:rFonts w:ascii="Times New Roman" w:hAnsi="Times New Roman" w:cs="Times New Roman"/>
                <w:sz w:val="20"/>
                <w:szCs w:val="20"/>
              </w:rPr>
              <w:t>Observation: The followings may have significant impacts on the current LTE-MTC eNB and UE behavior, and trade off complexity and benefits from those have not been thoroughly studied.</w:t>
            </w:r>
          </w:p>
          <w:p w14:paraId="73FBFA6A" w14:textId="0DEEFAF7" w:rsidR="00D46193" w:rsidRPr="006D1DA7" w:rsidRDefault="006D1DA7" w:rsidP="006D1DA7">
            <w:pPr>
              <w:pStyle w:val="ListParagraph"/>
              <w:numPr>
                <w:ilvl w:val="0"/>
                <w:numId w:val="49"/>
              </w:numPr>
              <w:rPr>
                <w:rFonts w:ascii="Times New Roman" w:hAnsi="Times New Roman" w:cs="Times New Roman"/>
                <w:sz w:val="20"/>
                <w:szCs w:val="20"/>
              </w:rPr>
            </w:pPr>
            <w:r w:rsidRPr="00970457">
              <w:rPr>
                <w:rFonts w:ascii="Times New Roman" w:hAnsi="Times New Roman" w:cs="Times New Roman"/>
                <w:sz w:val="20"/>
                <w:szCs w:val="20"/>
              </w:rPr>
              <w:t>Resource reservation at symbol level/slot level/subframe level/subcarrier level</w:t>
            </w:r>
          </w:p>
        </w:tc>
      </w:tr>
      <w:tr w:rsidR="00D46193" w:rsidRPr="007C2B1D" w14:paraId="16444349" w14:textId="77777777" w:rsidTr="000937A5">
        <w:tc>
          <w:tcPr>
            <w:tcW w:w="2830" w:type="dxa"/>
          </w:tcPr>
          <w:p w14:paraId="59120487" w14:textId="42620F2E" w:rsidR="00D46193" w:rsidRPr="003E082E" w:rsidRDefault="00D46193"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_Ref8595986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[6]</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Nokia, Nokia Shanghai Bell</w:t>
            </w:r>
          </w:p>
        </w:tc>
        <w:tc>
          <w:tcPr>
            <w:tcW w:w="6799" w:type="dxa"/>
          </w:tcPr>
          <w:p w14:paraId="23448237" w14:textId="2A1F86E7" w:rsidR="00D46193" w:rsidRPr="003E082E" w:rsidRDefault="008476C3" w:rsidP="008476C3">
            <w:pPr>
              <w:rPr>
                <w:rFonts w:ascii="Times New Roman" w:hAnsi="Times New Roman" w:cs="Times New Roman"/>
                <w:sz w:val="20"/>
                <w:szCs w:val="20"/>
              </w:rPr>
            </w:pPr>
            <w:r w:rsidRPr="00201BF4">
              <w:rPr>
                <w:rFonts w:ascii="Times New Roman" w:hAnsi="Times New Roman" w:cs="Times New Roman"/>
                <w:sz w:val="20"/>
                <w:szCs w:val="20"/>
              </w:rPr>
              <w:t>Proposal: eMTC reserved resource can be subframe-level, slot-level, or symbol-level</w:t>
            </w:r>
            <w:r w:rsidR="00940F0A">
              <w:rPr>
                <w:rFonts w:ascii="Times New Roman" w:hAnsi="Times New Roman" w:cs="Times New Roman"/>
                <w:sz w:val="20"/>
                <w:szCs w:val="20"/>
              </w:rPr>
              <w:t>.</w:t>
            </w:r>
          </w:p>
        </w:tc>
      </w:tr>
    </w:tbl>
    <w:p w14:paraId="622CF39A" w14:textId="27C7BC4C" w:rsidR="00D46193" w:rsidRDefault="00D46193" w:rsidP="00FE1E66">
      <w:pPr>
        <w:pStyle w:val="Reference"/>
        <w:numPr>
          <w:ilvl w:val="0"/>
          <w:numId w:val="0"/>
        </w:numPr>
        <w:ind w:left="567" w:hanging="567"/>
        <w:rPr>
          <w:rFonts w:ascii="Arial" w:hAnsi="Arial" w:cs="Arial"/>
          <w:sz w:val="20"/>
        </w:rPr>
      </w:pPr>
    </w:p>
    <w:p w14:paraId="7FC167A8" w14:textId="3912BF02" w:rsidR="00141FB7" w:rsidRDefault="00141FB7" w:rsidP="00141FB7">
      <w:pPr>
        <w:pStyle w:val="Heading2"/>
      </w:pPr>
      <w:r>
        <w:lastRenderedPageBreak/>
        <w:t xml:space="preserve">LTE-M </w:t>
      </w:r>
      <w:r w:rsidR="00791202">
        <w:t xml:space="preserve">reserved </w:t>
      </w:r>
      <w:r>
        <w:t>resource granularity when NR SCS &gt; 15 kHz</w:t>
      </w:r>
    </w:p>
    <w:p w14:paraId="39B28919" w14:textId="77777777" w:rsidR="00141FB7" w:rsidRDefault="00141FB7" w:rsidP="00141FB7">
      <w:pPr>
        <w:pStyle w:val="BodyText"/>
        <w:rPr>
          <w:rFonts w:ascii="Arial" w:hAnsi="Arial" w:cs="Arial"/>
          <w:sz w:val="20"/>
        </w:rPr>
      </w:pPr>
      <w:r>
        <w:rPr>
          <w:rFonts w:ascii="Arial" w:hAnsi="Arial" w:cs="Arial"/>
          <w:sz w:val="20"/>
        </w:rPr>
        <w:t>The contributions listed in the table below discuss whether the time granularity of LTE-M reserved resources should be scaled according to the NR subcarrier spacing (SCS) or not.</w:t>
      </w:r>
    </w:p>
    <w:p w14:paraId="114261AC" w14:textId="77777777" w:rsidR="00141FB7" w:rsidRPr="00DF475D" w:rsidRDefault="00141FB7" w:rsidP="00141FB7">
      <w:pPr>
        <w:pStyle w:val="BodyText"/>
        <w:rPr>
          <w:rFonts w:ascii="Arial" w:hAnsi="Arial" w:cs="Arial"/>
          <w:sz w:val="20"/>
          <w:highlight w:val="yellow"/>
        </w:rPr>
      </w:pPr>
      <w:r w:rsidRPr="00DF475D">
        <w:rPr>
          <w:rFonts w:ascii="Arial" w:hAnsi="Arial" w:cs="Arial"/>
          <w:sz w:val="20"/>
          <w:highlight w:val="yellow"/>
        </w:rPr>
        <w:t>Feature lead recommendation:</w:t>
      </w:r>
    </w:p>
    <w:p w14:paraId="1B1C35B5" w14:textId="77777777" w:rsidR="00141FB7" w:rsidRPr="00F61A7A" w:rsidRDefault="00141FB7" w:rsidP="00141FB7">
      <w:pPr>
        <w:pStyle w:val="BodyText"/>
        <w:numPr>
          <w:ilvl w:val="0"/>
          <w:numId w:val="29"/>
        </w:numPr>
        <w:rPr>
          <w:rFonts w:ascii="Arial" w:hAnsi="Arial" w:cs="Arial"/>
          <w:sz w:val="20"/>
        </w:rPr>
      </w:pPr>
      <w:r>
        <w:rPr>
          <w:rFonts w:ascii="Arial" w:hAnsi="Arial" w:cs="Arial"/>
          <w:sz w:val="20"/>
        </w:rPr>
        <w:t>RAN1 discusses whether to continue to consider scaling of the time granularity of LTE-M reserved resources according to the NR SCS in Rel-16.</w:t>
      </w:r>
    </w:p>
    <w:tbl>
      <w:tblPr>
        <w:tblStyle w:val="TableGrid"/>
        <w:tblW w:w="0" w:type="auto"/>
        <w:tblLook w:val="04A0" w:firstRow="1" w:lastRow="0" w:firstColumn="1" w:lastColumn="0" w:noHBand="0" w:noVBand="1"/>
      </w:tblPr>
      <w:tblGrid>
        <w:gridCol w:w="2830"/>
        <w:gridCol w:w="6799"/>
      </w:tblGrid>
      <w:tr w:rsidR="00141FB7" w:rsidRPr="008A1717" w14:paraId="2D477C04" w14:textId="77777777" w:rsidTr="000937A5">
        <w:tc>
          <w:tcPr>
            <w:tcW w:w="2830" w:type="dxa"/>
          </w:tcPr>
          <w:p w14:paraId="24451B5A" w14:textId="4737C7ED" w:rsidR="00141FB7" w:rsidRPr="003E082E" w:rsidRDefault="00141FB7"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_Ref1595240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[2]</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Ericsson</w:t>
            </w:r>
          </w:p>
        </w:tc>
        <w:tc>
          <w:tcPr>
            <w:tcW w:w="6799" w:type="dxa"/>
          </w:tcPr>
          <w:p w14:paraId="0A3700D3" w14:textId="77777777" w:rsidR="00141FB7" w:rsidRPr="00D92DE4" w:rsidRDefault="00141FB7" w:rsidP="000937A5">
            <w:pPr>
              <w:rPr>
                <w:rFonts w:ascii="Times New Roman" w:hAnsi="Times New Roman" w:cs="Times New Roman"/>
                <w:sz w:val="20"/>
                <w:lang w:val="en-GB" w:eastAsia="zh-CN"/>
              </w:rPr>
            </w:pPr>
            <w:r w:rsidRPr="00D92DE4">
              <w:rPr>
                <w:rFonts w:ascii="Times New Roman" w:hAnsi="Times New Roman" w:cs="Times New Roman"/>
                <w:sz w:val="20"/>
                <w:lang w:val="en-GB" w:eastAsia="zh-CN"/>
              </w:rPr>
              <w:t>Observation</w:t>
            </w:r>
            <w:r>
              <w:rPr>
                <w:rFonts w:ascii="Times New Roman" w:hAnsi="Times New Roman" w:cs="Times New Roman"/>
                <w:sz w:val="20"/>
                <w:lang w:val="en-GB" w:eastAsia="zh-CN"/>
              </w:rPr>
              <w:t xml:space="preserve">: </w:t>
            </w:r>
            <w:r w:rsidRPr="00D92DE4">
              <w:rPr>
                <w:rFonts w:ascii="Times New Roman" w:hAnsi="Times New Roman" w:cs="Times New Roman"/>
                <w:sz w:val="20"/>
                <w:lang w:val="en-GB" w:eastAsia="zh-CN"/>
              </w:rPr>
              <w:t>The performance of NR services (e.g., URLLC) in higher NR SCS cases can be maintained while using the same granularity of LTE-M resource reservation used for the 15 kHz NR SCS case.</w:t>
            </w:r>
          </w:p>
          <w:p w14:paraId="7B2749CF" w14:textId="77777777" w:rsidR="00141FB7" w:rsidRPr="003E082E" w:rsidRDefault="00141FB7" w:rsidP="000937A5">
            <w:pPr>
              <w:rPr>
                <w:rFonts w:ascii="Times New Roman" w:hAnsi="Times New Roman" w:cs="Times New Roman"/>
                <w:sz w:val="20"/>
                <w:lang w:val="en-GB" w:eastAsia="zh-CN"/>
              </w:rPr>
            </w:pPr>
            <w:r w:rsidRPr="00D92DE4">
              <w:rPr>
                <w:rFonts w:ascii="Times New Roman" w:hAnsi="Times New Roman" w:cs="Times New Roman"/>
                <w:sz w:val="20"/>
                <w:lang w:val="en-GB" w:eastAsia="zh-CN"/>
              </w:rPr>
              <w:t>Proposa</w:t>
            </w:r>
            <w:r>
              <w:rPr>
                <w:rFonts w:ascii="Times New Roman" w:hAnsi="Times New Roman" w:cs="Times New Roman"/>
                <w:sz w:val="20"/>
                <w:lang w:val="en-GB" w:eastAsia="zh-CN"/>
              </w:rPr>
              <w:t xml:space="preserve">l: </w:t>
            </w:r>
            <w:r w:rsidRPr="00D92DE4">
              <w:rPr>
                <w:rFonts w:ascii="Times New Roman" w:hAnsi="Times New Roman" w:cs="Times New Roman"/>
                <w:sz w:val="20"/>
                <w:lang w:val="en-GB" w:eastAsia="zh-CN"/>
              </w:rPr>
              <w:t>The granularity of LTE-M resource reservation does not need to be scaled according to NR SCS.</w:t>
            </w:r>
          </w:p>
        </w:tc>
      </w:tr>
      <w:tr w:rsidR="00141FB7" w:rsidRPr="008A1717" w14:paraId="62DBDF61" w14:textId="77777777" w:rsidTr="000937A5">
        <w:tc>
          <w:tcPr>
            <w:tcW w:w="2830" w:type="dxa"/>
          </w:tcPr>
          <w:p w14:paraId="06575FC7" w14:textId="0465C401" w:rsidR="00141FB7" w:rsidRPr="003E082E" w:rsidRDefault="00141FB7"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_Ref5044500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[5]</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LG Electronics</w:t>
            </w:r>
          </w:p>
        </w:tc>
        <w:tc>
          <w:tcPr>
            <w:tcW w:w="6799" w:type="dxa"/>
          </w:tcPr>
          <w:p w14:paraId="61020AF1" w14:textId="77777777" w:rsidR="00141FB7" w:rsidRPr="00D41D15" w:rsidRDefault="00141FB7" w:rsidP="000937A5">
            <w:pPr>
              <w:rPr>
                <w:rFonts w:ascii="Times New Roman" w:hAnsi="Times New Roman" w:cs="Times New Roman"/>
                <w:sz w:val="20"/>
                <w:szCs w:val="20"/>
              </w:rPr>
            </w:pPr>
            <w:r w:rsidRPr="00D41D15">
              <w:rPr>
                <w:rFonts w:ascii="Times New Roman" w:hAnsi="Times New Roman" w:cs="Times New Roman"/>
                <w:sz w:val="20"/>
                <w:szCs w:val="20"/>
              </w:rPr>
              <w:t>Observation: The following may have significant impacts on the current LTE-MTC eNB and UE behavior, and trade off complexity and benefits from those have not been thoroughly studied.</w:t>
            </w:r>
          </w:p>
          <w:p w14:paraId="266A9B7D" w14:textId="77777777" w:rsidR="00141FB7" w:rsidRPr="00F708EC" w:rsidRDefault="00141FB7" w:rsidP="000937A5">
            <w:pPr>
              <w:pStyle w:val="ListParagraph"/>
              <w:numPr>
                <w:ilvl w:val="0"/>
                <w:numId w:val="49"/>
              </w:numPr>
              <w:rPr>
                <w:rFonts w:ascii="Times New Roman" w:hAnsi="Times New Roman" w:cs="Times New Roman"/>
                <w:sz w:val="20"/>
                <w:szCs w:val="20"/>
              </w:rPr>
            </w:pPr>
            <w:r w:rsidRPr="00F708EC">
              <w:rPr>
                <w:rFonts w:ascii="Times New Roman" w:hAnsi="Times New Roman" w:cs="Times New Roman"/>
                <w:sz w:val="20"/>
                <w:szCs w:val="20"/>
              </w:rPr>
              <w:t>Consider whether the time-domain granularity of the LTE-MTC valid subframe configuration should be scaled dependent on the NR subcarrier spacing</w:t>
            </w:r>
          </w:p>
        </w:tc>
      </w:tr>
      <w:tr w:rsidR="00141FB7" w:rsidRPr="007C2B1D" w14:paraId="592A53AB" w14:textId="77777777" w:rsidTr="000937A5">
        <w:tc>
          <w:tcPr>
            <w:tcW w:w="2830" w:type="dxa"/>
          </w:tcPr>
          <w:p w14:paraId="28156554" w14:textId="270AD567" w:rsidR="00141FB7" w:rsidRPr="003E082E" w:rsidRDefault="00141FB7"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_Ref8595986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[6]</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Nokia, Nokia Shanghai Bell</w:t>
            </w:r>
          </w:p>
        </w:tc>
        <w:tc>
          <w:tcPr>
            <w:tcW w:w="6799" w:type="dxa"/>
          </w:tcPr>
          <w:p w14:paraId="57DD203B" w14:textId="77777777" w:rsidR="00141FB7" w:rsidRPr="003E082E" w:rsidRDefault="00141FB7" w:rsidP="000937A5">
            <w:pPr>
              <w:rPr>
                <w:rFonts w:ascii="Times New Roman" w:hAnsi="Times New Roman" w:cs="Times New Roman"/>
                <w:sz w:val="20"/>
                <w:szCs w:val="20"/>
              </w:rPr>
            </w:pPr>
            <w:r w:rsidRPr="00201BF4">
              <w:rPr>
                <w:rFonts w:ascii="Times New Roman" w:hAnsi="Times New Roman" w:cs="Times New Roman"/>
                <w:sz w:val="20"/>
                <w:szCs w:val="20"/>
              </w:rPr>
              <w:t>Observation: For NR deployment using 30 and 60 kHz SCS, slot-level and symbol-level resource reservation can improve coexistence.</w:t>
            </w:r>
          </w:p>
        </w:tc>
      </w:tr>
      <w:tr w:rsidR="00141FB7" w:rsidRPr="007C2B1D" w14:paraId="51BB8875" w14:textId="77777777" w:rsidTr="000937A5">
        <w:tc>
          <w:tcPr>
            <w:tcW w:w="2830" w:type="dxa"/>
          </w:tcPr>
          <w:p w14:paraId="47D8B7F7" w14:textId="35D65B9A" w:rsidR="00141FB7" w:rsidRPr="003E082E" w:rsidRDefault="00141FB7"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_Ref529801415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[7]</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Qualcomm Incorporated</w:t>
            </w:r>
          </w:p>
        </w:tc>
        <w:tc>
          <w:tcPr>
            <w:tcW w:w="6799" w:type="dxa"/>
          </w:tcPr>
          <w:p w14:paraId="60164756" w14:textId="77777777" w:rsidR="00141FB7" w:rsidRPr="003E082E" w:rsidRDefault="00141FB7" w:rsidP="000937A5">
            <w:pPr>
              <w:rPr>
                <w:rFonts w:ascii="Times New Roman" w:hAnsi="Times New Roman" w:cs="Times New Roman"/>
                <w:sz w:val="20"/>
                <w:szCs w:val="20"/>
              </w:rPr>
            </w:pPr>
            <w:r>
              <w:rPr>
                <w:rFonts w:ascii="Times New Roman" w:hAnsi="Times New Roman" w:cs="Times New Roman"/>
                <w:sz w:val="20"/>
                <w:szCs w:val="20"/>
              </w:rPr>
              <w:t xml:space="preserve">Proposal: </w:t>
            </w:r>
            <w:r w:rsidRPr="002C1306">
              <w:rPr>
                <w:rFonts w:ascii="Times New Roman" w:hAnsi="Times New Roman" w:cs="Times New Roman"/>
                <w:sz w:val="20"/>
                <w:szCs w:val="20"/>
              </w:rPr>
              <w:t>The time-domain granularity of the LTE-MTC valid subframe configuration can be scaled dependent on the NR subcarrier spacing</w:t>
            </w:r>
            <w:r>
              <w:rPr>
                <w:rFonts w:ascii="Times New Roman" w:hAnsi="Times New Roman" w:cs="Times New Roman"/>
                <w:sz w:val="20"/>
                <w:szCs w:val="20"/>
              </w:rPr>
              <w:t>.</w:t>
            </w:r>
          </w:p>
        </w:tc>
      </w:tr>
    </w:tbl>
    <w:p w14:paraId="348F7D29" w14:textId="77777777" w:rsidR="00141FB7" w:rsidRDefault="00141FB7" w:rsidP="00FE1E66">
      <w:pPr>
        <w:pStyle w:val="Reference"/>
        <w:numPr>
          <w:ilvl w:val="0"/>
          <w:numId w:val="0"/>
        </w:numPr>
        <w:ind w:left="567" w:hanging="567"/>
        <w:rPr>
          <w:rFonts w:ascii="Arial" w:hAnsi="Arial" w:cs="Arial"/>
          <w:sz w:val="20"/>
        </w:rPr>
      </w:pPr>
    </w:p>
    <w:p w14:paraId="3726933A" w14:textId="77777777" w:rsidR="00F40014" w:rsidRDefault="00F40014" w:rsidP="00F40014">
      <w:pPr>
        <w:pStyle w:val="Heading2"/>
      </w:pPr>
      <w:r>
        <w:t>Drop or postpone in LTE-M reserved resources</w:t>
      </w:r>
    </w:p>
    <w:p w14:paraId="5DEADD01" w14:textId="77777777" w:rsidR="00F40014" w:rsidRDefault="00F40014" w:rsidP="00F40014">
      <w:pPr>
        <w:pStyle w:val="BodyText"/>
        <w:rPr>
          <w:rFonts w:ascii="Arial" w:hAnsi="Arial" w:cs="Arial"/>
          <w:sz w:val="20"/>
        </w:rPr>
      </w:pPr>
      <w:r>
        <w:rPr>
          <w:rFonts w:ascii="Arial" w:hAnsi="Arial" w:cs="Arial"/>
          <w:sz w:val="20"/>
        </w:rPr>
        <w:t>The contributions listed in the table below discuss whether LTE-M transmissions should be dropped or postponed when they overlap with LTE-M reserved resources.</w:t>
      </w:r>
    </w:p>
    <w:p w14:paraId="162D4D67" w14:textId="77777777" w:rsidR="00F40014" w:rsidRPr="00DF475D" w:rsidRDefault="00F40014" w:rsidP="00F40014">
      <w:pPr>
        <w:pStyle w:val="BodyText"/>
        <w:rPr>
          <w:rFonts w:ascii="Arial" w:hAnsi="Arial" w:cs="Arial"/>
          <w:sz w:val="20"/>
          <w:highlight w:val="yellow"/>
        </w:rPr>
      </w:pPr>
      <w:r w:rsidRPr="00DF475D">
        <w:rPr>
          <w:rFonts w:ascii="Arial" w:hAnsi="Arial" w:cs="Arial"/>
          <w:sz w:val="20"/>
          <w:highlight w:val="yellow"/>
        </w:rPr>
        <w:t>Feature lead recommendation:</w:t>
      </w:r>
    </w:p>
    <w:p w14:paraId="62FF1A52" w14:textId="5F242004" w:rsidR="00F40014" w:rsidRDefault="00F40014" w:rsidP="00F40014">
      <w:pPr>
        <w:pStyle w:val="BodyText"/>
        <w:numPr>
          <w:ilvl w:val="0"/>
          <w:numId w:val="29"/>
        </w:numPr>
        <w:rPr>
          <w:rFonts w:ascii="Arial" w:hAnsi="Arial" w:cs="Arial"/>
          <w:sz w:val="20"/>
        </w:rPr>
      </w:pPr>
      <w:r>
        <w:rPr>
          <w:rFonts w:ascii="Arial" w:hAnsi="Arial" w:cs="Arial"/>
          <w:sz w:val="20"/>
        </w:rPr>
        <w:t>LTE-M transmissions in LTE-M reserved resources are handled in the following way (if specified):</w:t>
      </w:r>
    </w:p>
    <w:p w14:paraId="6FA19494" w14:textId="77777777" w:rsidR="00F40014" w:rsidRDefault="00F40014" w:rsidP="00F40014">
      <w:pPr>
        <w:pStyle w:val="BodyText"/>
        <w:numPr>
          <w:ilvl w:val="1"/>
          <w:numId w:val="29"/>
        </w:numPr>
        <w:rPr>
          <w:rFonts w:ascii="Arial" w:hAnsi="Arial" w:cs="Arial"/>
          <w:sz w:val="20"/>
        </w:rPr>
      </w:pPr>
      <w:r>
        <w:rPr>
          <w:rFonts w:ascii="Arial" w:hAnsi="Arial" w:cs="Arial"/>
          <w:sz w:val="20"/>
        </w:rPr>
        <w:t>For symbol-level reserved resources: drop</w:t>
      </w:r>
    </w:p>
    <w:p w14:paraId="24CDD4F9" w14:textId="7ED3957B" w:rsidR="00F40014" w:rsidRDefault="00F40014" w:rsidP="00F40014">
      <w:pPr>
        <w:pStyle w:val="BodyText"/>
        <w:numPr>
          <w:ilvl w:val="1"/>
          <w:numId w:val="29"/>
        </w:numPr>
        <w:rPr>
          <w:rFonts w:ascii="Arial" w:hAnsi="Arial" w:cs="Arial"/>
          <w:sz w:val="20"/>
        </w:rPr>
      </w:pPr>
      <w:r>
        <w:rPr>
          <w:rFonts w:ascii="Arial" w:hAnsi="Arial" w:cs="Arial"/>
          <w:sz w:val="20"/>
        </w:rPr>
        <w:t xml:space="preserve">For slot-level reserved resources: FFS </w:t>
      </w:r>
      <w:r w:rsidR="002536F8">
        <w:rPr>
          <w:rFonts w:ascii="Arial" w:hAnsi="Arial" w:cs="Arial"/>
          <w:sz w:val="20"/>
        </w:rPr>
        <w:t>whether to</w:t>
      </w:r>
      <w:r>
        <w:rPr>
          <w:rFonts w:ascii="Arial" w:hAnsi="Arial" w:cs="Arial"/>
          <w:sz w:val="20"/>
        </w:rPr>
        <w:t xml:space="preserve"> drop </w:t>
      </w:r>
      <w:r w:rsidR="008E2A39">
        <w:rPr>
          <w:rFonts w:ascii="Arial" w:hAnsi="Arial" w:cs="Arial"/>
          <w:sz w:val="20"/>
        </w:rPr>
        <w:t>or</w:t>
      </w:r>
      <w:r>
        <w:rPr>
          <w:rFonts w:ascii="Arial" w:hAnsi="Arial" w:cs="Arial"/>
          <w:sz w:val="20"/>
        </w:rPr>
        <w:t xml:space="preserve"> postpone</w:t>
      </w:r>
    </w:p>
    <w:p w14:paraId="07701AD2" w14:textId="77777777" w:rsidR="00F40014" w:rsidRDefault="00F40014" w:rsidP="00F40014">
      <w:pPr>
        <w:pStyle w:val="BodyText"/>
        <w:numPr>
          <w:ilvl w:val="1"/>
          <w:numId w:val="29"/>
        </w:numPr>
        <w:rPr>
          <w:rFonts w:ascii="Arial" w:hAnsi="Arial" w:cs="Arial"/>
          <w:sz w:val="20"/>
        </w:rPr>
      </w:pPr>
      <w:r>
        <w:rPr>
          <w:rFonts w:ascii="Arial" w:hAnsi="Arial" w:cs="Arial"/>
          <w:sz w:val="20"/>
        </w:rPr>
        <w:t>For subframe-level reserved resources: postpone</w:t>
      </w:r>
    </w:p>
    <w:tbl>
      <w:tblPr>
        <w:tblStyle w:val="TableGrid"/>
        <w:tblW w:w="0" w:type="auto"/>
        <w:tblLook w:val="04A0" w:firstRow="1" w:lastRow="0" w:firstColumn="1" w:lastColumn="0" w:noHBand="0" w:noVBand="1"/>
      </w:tblPr>
      <w:tblGrid>
        <w:gridCol w:w="2830"/>
        <w:gridCol w:w="6799"/>
      </w:tblGrid>
      <w:tr w:rsidR="00F40014" w:rsidRPr="008A1717" w14:paraId="7EAC0E70" w14:textId="77777777" w:rsidTr="000937A5">
        <w:tc>
          <w:tcPr>
            <w:tcW w:w="2830" w:type="dxa"/>
          </w:tcPr>
          <w:p w14:paraId="72C18CE7" w14:textId="37080685" w:rsidR="00F40014" w:rsidRPr="003E082E" w:rsidRDefault="00F4001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_Ref1595240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[2]</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Ericsson</w:t>
            </w:r>
          </w:p>
        </w:tc>
        <w:tc>
          <w:tcPr>
            <w:tcW w:w="6799" w:type="dxa"/>
          </w:tcPr>
          <w:p w14:paraId="064776FA" w14:textId="77777777" w:rsidR="00F40014" w:rsidRPr="003E082E" w:rsidRDefault="00F40014" w:rsidP="000937A5">
            <w:pPr>
              <w:rPr>
                <w:rFonts w:ascii="Times New Roman" w:hAnsi="Times New Roman" w:cs="Times New Roman"/>
                <w:sz w:val="20"/>
                <w:lang w:val="en-GB" w:eastAsia="zh-CN"/>
              </w:rPr>
            </w:pPr>
            <w:r w:rsidRPr="00AC7341">
              <w:rPr>
                <w:rFonts w:ascii="Times New Roman" w:hAnsi="Times New Roman" w:cs="Times New Roman"/>
                <w:sz w:val="20"/>
                <w:lang w:val="en-GB" w:eastAsia="zh-CN"/>
              </w:rPr>
              <w:t>Proposa</w:t>
            </w:r>
            <w:r>
              <w:rPr>
                <w:rFonts w:ascii="Times New Roman" w:hAnsi="Times New Roman" w:cs="Times New Roman"/>
                <w:sz w:val="20"/>
                <w:lang w:val="en-GB" w:eastAsia="zh-CN"/>
              </w:rPr>
              <w:t xml:space="preserve">l: </w:t>
            </w:r>
            <w:r w:rsidRPr="00AC7341">
              <w:rPr>
                <w:rFonts w:ascii="Times New Roman" w:hAnsi="Times New Roman" w:cs="Times New Roman"/>
                <w:sz w:val="20"/>
                <w:lang w:val="en-GB" w:eastAsia="zh-CN"/>
              </w:rPr>
              <w:t>LTE-M transmissions in the finer-granularity reserved resources are dropped (i.e., not postponed).</w:t>
            </w:r>
          </w:p>
        </w:tc>
      </w:tr>
      <w:tr w:rsidR="00F40014" w:rsidRPr="008A1717" w14:paraId="31A1B356" w14:textId="77777777" w:rsidTr="000937A5">
        <w:tc>
          <w:tcPr>
            <w:tcW w:w="2830" w:type="dxa"/>
          </w:tcPr>
          <w:p w14:paraId="3122A501" w14:textId="42F85AAE" w:rsidR="00F40014" w:rsidRPr="003E082E" w:rsidRDefault="00F4001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_Ref5045604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[4]</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ZTE</w:t>
            </w:r>
          </w:p>
        </w:tc>
        <w:tc>
          <w:tcPr>
            <w:tcW w:w="6799" w:type="dxa"/>
          </w:tcPr>
          <w:p w14:paraId="1920E1B2" w14:textId="77777777" w:rsidR="00F40014" w:rsidRDefault="00F40014" w:rsidP="000937A5">
            <w:pPr>
              <w:rPr>
                <w:rFonts w:ascii="Times New Roman" w:hAnsi="Times New Roman" w:cs="Times New Roman"/>
                <w:sz w:val="20"/>
                <w:lang w:eastAsia="zh-CN"/>
              </w:rPr>
            </w:pPr>
            <w:r w:rsidRPr="00AC7341">
              <w:rPr>
                <w:rFonts w:ascii="Times New Roman" w:hAnsi="Times New Roman" w:cs="Times New Roman"/>
                <w:sz w:val="20"/>
                <w:lang w:val="en-GB" w:eastAsia="zh-CN"/>
              </w:rPr>
              <w:t>Proposa</w:t>
            </w:r>
            <w:r>
              <w:rPr>
                <w:rFonts w:ascii="Times New Roman" w:hAnsi="Times New Roman" w:cs="Times New Roman"/>
                <w:sz w:val="20"/>
                <w:lang w:val="en-GB" w:eastAsia="zh-CN"/>
              </w:rPr>
              <w:t xml:space="preserve">l: </w:t>
            </w:r>
            <w:r w:rsidRPr="00106CC4">
              <w:rPr>
                <w:rFonts w:ascii="Times New Roman" w:hAnsi="Times New Roman" w:cs="Times New Roman"/>
                <w:sz w:val="20"/>
                <w:lang w:eastAsia="zh-CN"/>
              </w:rPr>
              <w:t>The LTE-MTC UE assumes the downlink LTE-MTC transmissions in the reserved resources are punctured.</w:t>
            </w:r>
          </w:p>
          <w:p w14:paraId="1D7F2456" w14:textId="77777777" w:rsidR="00F40014" w:rsidRPr="003E082E" w:rsidRDefault="00F40014" w:rsidP="000937A5">
            <w:pPr>
              <w:rPr>
                <w:rFonts w:ascii="Times New Roman" w:hAnsi="Times New Roman" w:cs="Times New Roman"/>
                <w:sz w:val="20"/>
                <w:lang w:val="en-GB" w:eastAsia="zh-CN"/>
              </w:rPr>
            </w:pPr>
            <w:r w:rsidRPr="00AC7341">
              <w:rPr>
                <w:rFonts w:ascii="Times New Roman" w:hAnsi="Times New Roman" w:cs="Times New Roman"/>
                <w:sz w:val="20"/>
                <w:lang w:val="en-GB" w:eastAsia="zh-CN"/>
              </w:rPr>
              <w:t>Proposa</w:t>
            </w:r>
            <w:r>
              <w:rPr>
                <w:rFonts w:ascii="Times New Roman" w:hAnsi="Times New Roman" w:cs="Times New Roman"/>
                <w:sz w:val="20"/>
                <w:lang w:val="en-GB" w:eastAsia="zh-CN"/>
              </w:rPr>
              <w:t xml:space="preserve">l: </w:t>
            </w:r>
            <w:r w:rsidRPr="00AC7D0E">
              <w:rPr>
                <w:rFonts w:ascii="Times New Roman" w:hAnsi="Times New Roman" w:cs="Times New Roman"/>
                <w:sz w:val="20"/>
                <w:lang w:val="en-GB" w:eastAsia="zh-CN"/>
              </w:rPr>
              <w:t>The uplink LTE-MTC transmission in the reserved resources can be punctured/muted or postponed.</w:t>
            </w:r>
          </w:p>
        </w:tc>
      </w:tr>
      <w:tr w:rsidR="00F40014" w:rsidRPr="007C2B1D" w14:paraId="7B4245B7" w14:textId="77777777" w:rsidTr="000937A5">
        <w:tc>
          <w:tcPr>
            <w:tcW w:w="2830" w:type="dxa"/>
          </w:tcPr>
          <w:p w14:paraId="1E41765A" w14:textId="200797E8" w:rsidR="00F40014" w:rsidRPr="003E082E" w:rsidRDefault="00F4001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_Ref8595986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[6]</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Nokia, Nokia Shanghai Bell</w:t>
            </w:r>
          </w:p>
        </w:tc>
        <w:tc>
          <w:tcPr>
            <w:tcW w:w="6799" w:type="dxa"/>
          </w:tcPr>
          <w:p w14:paraId="50662FBD" w14:textId="77777777" w:rsidR="00F40014" w:rsidRPr="003E082E" w:rsidRDefault="00F40014" w:rsidP="000937A5">
            <w:pPr>
              <w:rPr>
                <w:rFonts w:ascii="Times New Roman" w:hAnsi="Times New Roman" w:cs="Times New Roman"/>
                <w:sz w:val="20"/>
                <w:szCs w:val="20"/>
              </w:rPr>
            </w:pPr>
            <w:r w:rsidRPr="00201BF4">
              <w:rPr>
                <w:rFonts w:ascii="Times New Roman" w:hAnsi="Times New Roman" w:cs="Times New Roman"/>
                <w:sz w:val="20"/>
                <w:szCs w:val="20"/>
              </w:rPr>
              <w:t>Proposal: eMTC transmission can be dropped in reserved resources.</w:t>
            </w:r>
          </w:p>
        </w:tc>
      </w:tr>
      <w:tr w:rsidR="00F40014" w:rsidRPr="007C2B1D" w14:paraId="685559CC" w14:textId="77777777" w:rsidTr="000937A5">
        <w:tc>
          <w:tcPr>
            <w:tcW w:w="2830" w:type="dxa"/>
          </w:tcPr>
          <w:p w14:paraId="38797870" w14:textId="7370EC64" w:rsidR="00F40014" w:rsidRPr="003E082E" w:rsidRDefault="00F4001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_Ref529801415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[7]</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Qualcomm Incorporated</w:t>
            </w:r>
          </w:p>
        </w:tc>
        <w:tc>
          <w:tcPr>
            <w:tcW w:w="6799" w:type="dxa"/>
          </w:tcPr>
          <w:p w14:paraId="270E3D60" w14:textId="77777777" w:rsidR="00F40014" w:rsidRPr="003E082E" w:rsidRDefault="00F40014" w:rsidP="000937A5">
            <w:pPr>
              <w:rPr>
                <w:rFonts w:ascii="Times New Roman" w:hAnsi="Times New Roman" w:cs="Times New Roman"/>
                <w:sz w:val="20"/>
                <w:szCs w:val="20"/>
              </w:rPr>
            </w:pPr>
            <w:r w:rsidRPr="00ED732C">
              <w:rPr>
                <w:rFonts w:ascii="Times New Roman" w:hAnsi="Times New Roman" w:cs="Times New Roman"/>
                <w:sz w:val="20"/>
                <w:szCs w:val="20"/>
              </w:rPr>
              <w:t>Proposal: LTE-MTC transmission is postponed for the slot-level reserved resources</w:t>
            </w:r>
          </w:p>
        </w:tc>
      </w:tr>
    </w:tbl>
    <w:p w14:paraId="13BA137E" w14:textId="003CEE3D" w:rsidR="00840018" w:rsidRDefault="00840018" w:rsidP="00FE1E66">
      <w:pPr>
        <w:pStyle w:val="Reference"/>
        <w:numPr>
          <w:ilvl w:val="0"/>
          <w:numId w:val="0"/>
        </w:numPr>
        <w:ind w:left="567" w:hanging="567"/>
        <w:rPr>
          <w:rFonts w:ascii="Arial" w:hAnsi="Arial" w:cs="Arial"/>
          <w:sz w:val="20"/>
        </w:rPr>
      </w:pPr>
    </w:p>
    <w:p w14:paraId="0471A78C" w14:textId="351362BD" w:rsidR="006F6384" w:rsidRDefault="006F6384" w:rsidP="006F6384">
      <w:pPr>
        <w:pStyle w:val="Heading2"/>
      </w:pPr>
      <w:r>
        <w:lastRenderedPageBreak/>
        <w:t>Signalling aspects of LTE-M resource reservation</w:t>
      </w:r>
    </w:p>
    <w:p w14:paraId="5F40D22C" w14:textId="773DC78D" w:rsidR="00D41172" w:rsidRDefault="006F6384" w:rsidP="006F6384">
      <w:pPr>
        <w:pStyle w:val="BodyText"/>
        <w:rPr>
          <w:rFonts w:ascii="Arial" w:hAnsi="Arial" w:cs="Arial"/>
          <w:sz w:val="20"/>
        </w:rPr>
      </w:pPr>
      <w:r>
        <w:rPr>
          <w:rFonts w:ascii="Arial" w:hAnsi="Arial" w:cs="Arial"/>
          <w:sz w:val="20"/>
        </w:rPr>
        <w:t xml:space="preserve">The contributions listed in the table below discuss </w:t>
      </w:r>
      <w:r w:rsidR="00D41172">
        <w:rPr>
          <w:rFonts w:ascii="Arial" w:hAnsi="Arial" w:cs="Arial"/>
          <w:sz w:val="20"/>
        </w:rPr>
        <w:t>signaling aspects of finer</w:t>
      </w:r>
      <w:r w:rsidR="00881A29">
        <w:rPr>
          <w:rFonts w:ascii="Arial" w:hAnsi="Arial" w:cs="Arial"/>
          <w:sz w:val="20"/>
        </w:rPr>
        <w:t>-</w:t>
      </w:r>
      <w:r w:rsidR="00D41172">
        <w:rPr>
          <w:rFonts w:ascii="Arial" w:hAnsi="Arial" w:cs="Arial"/>
          <w:sz w:val="20"/>
        </w:rPr>
        <w:t>granularity</w:t>
      </w:r>
      <w:r>
        <w:rPr>
          <w:rFonts w:ascii="Arial" w:hAnsi="Arial" w:cs="Arial"/>
          <w:sz w:val="20"/>
        </w:rPr>
        <w:t xml:space="preserve"> LTE-M </w:t>
      </w:r>
      <w:r w:rsidR="00D41172">
        <w:rPr>
          <w:rFonts w:ascii="Arial" w:hAnsi="Arial" w:cs="Arial"/>
          <w:sz w:val="20"/>
        </w:rPr>
        <w:t>resource reservation.</w:t>
      </w:r>
    </w:p>
    <w:p w14:paraId="768E3471" w14:textId="77777777" w:rsidR="006F6384" w:rsidRPr="00DF475D" w:rsidRDefault="006F6384" w:rsidP="006F6384">
      <w:pPr>
        <w:pStyle w:val="BodyText"/>
        <w:rPr>
          <w:rFonts w:ascii="Arial" w:hAnsi="Arial" w:cs="Arial"/>
          <w:sz w:val="20"/>
          <w:highlight w:val="yellow"/>
        </w:rPr>
      </w:pPr>
      <w:r w:rsidRPr="00DF475D">
        <w:rPr>
          <w:rFonts w:ascii="Arial" w:hAnsi="Arial" w:cs="Arial"/>
          <w:sz w:val="20"/>
          <w:highlight w:val="yellow"/>
        </w:rPr>
        <w:t>Feature lead recommendation:</w:t>
      </w:r>
    </w:p>
    <w:p w14:paraId="099C5AFC" w14:textId="3D50D246" w:rsidR="00F34C0F" w:rsidRDefault="00F34C0F" w:rsidP="006F6384">
      <w:pPr>
        <w:pStyle w:val="BodyText"/>
        <w:numPr>
          <w:ilvl w:val="0"/>
          <w:numId w:val="29"/>
        </w:numPr>
        <w:rPr>
          <w:rFonts w:ascii="Arial" w:hAnsi="Arial" w:cs="Arial"/>
          <w:sz w:val="20"/>
        </w:rPr>
      </w:pPr>
      <w:r>
        <w:rPr>
          <w:rFonts w:ascii="Arial" w:hAnsi="Arial" w:cs="Arial"/>
          <w:sz w:val="20"/>
        </w:rPr>
        <w:t xml:space="preserve">For </w:t>
      </w:r>
      <w:r w:rsidR="009E5302">
        <w:rPr>
          <w:rFonts w:ascii="Arial" w:hAnsi="Arial" w:cs="Arial"/>
          <w:sz w:val="20"/>
        </w:rPr>
        <w:t>finer</w:t>
      </w:r>
      <w:r w:rsidR="00881A29">
        <w:rPr>
          <w:rFonts w:ascii="Arial" w:hAnsi="Arial" w:cs="Arial"/>
          <w:sz w:val="20"/>
        </w:rPr>
        <w:t>-</w:t>
      </w:r>
      <w:r w:rsidR="009E5302">
        <w:rPr>
          <w:rFonts w:ascii="Arial" w:hAnsi="Arial" w:cs="Arial"/>
          <w:sz w:val="20"/>
        </w:rPr>
        <w:t xml:space="preserve">granularity </w:t>
      </w:r>
      <w:r>
        <w:rPr>
          <w:rFonts w:ascii="Arial" w:hAnsi="Arial" w:cs="Arial"/>
          <w:sz w:val="20"/>
        </w:rPr>
        <w:t>LTE-M resource reservation</w:t>
      </w:r>
      <w:r w:rsidR="00210216">
        <w:rPr>
          <w:rFonts w:ascii="Arial" w:hAnsi="Arial" w:cs="Arial"/>
          <w:sz w:val="20"/>
        </w:rPr>
        <w:t xml:space="preserve"> (if specified)</w:t>
      </w:r>
      <w:r>
        <w:rPr>
          <w:rFonts w:ascii="Arial" w:hAnsi="Arial" w:cs="Arial"/>
          <w:sz w:val="20"/>
        </w:rPr>
        <w:t>, semi-static configuration is supported</w:t>
      </w:r>
      <w:r w:rsidR="00210216">
        <w:rPr>
          <w:rFonts w:ascii="Arial" w:hAnsi="Arial" w:cs="Arial"/>
          <w:sz w:val="20"/>
        </w:rPr>
        <w:t>, and</w:t>
      </w:r>
      <w:r>
        <w:rPr>
          <w:rFonts w:ascii="Arial" w:hAnsi="Arial" w:cs="Arial"/>
          <w:sz w:val="20"/>
        </w:rPr>
        <w:t xml:space="preserve"> dynamic DCI signaling</w:t>
      </w:r>
      <w:r w:rsidR="00265A71">
        <w:rPr>
          <w:rFonts w:ascii="Arial" w:hAnsi="Arial" w:cs="Arial"/>
          <w:sz w:val="20"/>
        </w:rPr>
        <w:t xml:space="preserve"> is FFS.</w:t>
      </w:r>
    </w:p>
    <w:tbl>
      <w:tblPr>
        <w:tblStyle w:val="TableGrid"/>
        <w:tblW w:w="0" w:type="auto"/>
        <w:tblLook w:val="04A0" w:firstRow="1" w:lastRow="0" w:firstColumn="1" w:lastColumn="0" w:noHBand="0" w:noVBand="1"/>
      </w:tblPr>
      <w:tblGrid>
        <w:gridCol w:w="2830"/>
        <w:gridCol w:w="6799"/>
      </w:tblGrid>
      <w:tr w:rsidR="006F6384" w:rsidRPr="008A1717" w14:paraId="5BAD0410" w14:textId="77777777" w:rsidTr="000937A5">
        <w:tc>
          <w:tcPr>
            <w:tcW w:w="2830" w:type="dxa"/>
          </w:tcPr>
          <w:p w14:paraId="3BE25F09" w14:textId="31512E76" w:rsidR="006F6384" w:rsidRPr="003E082E" w:rsidRDefault="006F638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_Ref1595240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[2]</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Ericsson</w:t>
            </w:r>
          </w:p>
        </w:tc>
        <w:tc>
          <w:tcPr>
            <w:tcW w:w="6799" w:type="dxa"/>
          </w:tcPr>
          <w:p w14:paraId="0D0D8B7D" w14:textId="7280FB87" w:rsidR="006F6384" w:rsidRPr="006F6384" w:rsidRDefault="006F6384" w:rsidP="000937A5">
            <w:pPr>
              <w:rPr>
                <w:rFonts w:ascii="Times New Roman" w:hAnsi="Times New Roman" w:cs="Times New Roman"/>
                <w:sz w:val="20"/>
                <w:lang w:eastAsia="zh-CN"/>
              </w:rPr>
            </w:pPr>
            <w:r w:rsidRPr="00605125">
              <w:rPr>
                <w:rFonts w:ascii="Times New Roman" w:hAnsi="Times New Roman" w:cs="Times New Roman"/>
                <w:sz w:val="20"/>
                <w:lang w:eastAsia="zh-CN"/>
              </w:rPr>
              <w:t>Observation: Bitmap parameters for slot-level or symbol-level resource reservation would require quite many bits for each frame (20 and 140 bits, respectively) in the reservation pattern, and therefore it may be worthwhile to study more efficient signaling means than bitmap parameters.</w:t>
            </w:r>
          </w:p>
        </w:tc>
      </w:tr>
      <w:tr w:rsidR="006F6384" w:rsidRPr="008A1717" w14:paraId="40BCF50E" w14:textId="77777777" w:rsidTr="000937A5">
        <w:tc>
          <w:tcPr>
            <w:tcW w:w="2830" w:type="dxa"/>
          </w:tcPr>
          <w:p w14:paraId="1781C8DC" w14:textId="775914F7" w:rsidR="006F6384" w:rsidRPr="003E082E" w:rsidRDefault="006F638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_Ref5045587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[3]</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Huawei, HiSilicon</w:t>
            </w:r>
          </w:p>
        </w:tc>
        <w:tc>
          <w:tcPr>
            <w:tcW w:w="6799" w:type="dxa"/>
          </w:tcPr>
          <w:p w14:paraId="69035ABD" w14:textId="1CF53C4D" w:rsidR="006F6384" w:rsidRPr="003E082E" w:rsidRDefault="001B5BE9" w:rsidP="000937A5">
            <w:pPr>
              <w:rPr>
                <w:rFonts w:ascii="Times New Roman" w:hAnsi="Times New Roman" w:cs="Times New Roman"/>
                <w:sz w:val="20"/>
                <w:lang w:val="en-GB" w:eastAsia="zh-CN"/>
              </w:rPr>
            </w:pPr>
            <w:r w:rsidRPr="00600A3F">
              <w:rPr>
                <w:rFonts w:ascii="Times New Roman" w:hAnsi="Times New Roman" w:cs="Times New Roman"/>
                <w:sz w:val="20"/>
                <w:lang w:val="en-GB" w:eastAsia="zh-CN"/>
              </w:rPr>
              <w:t>Proposal: Dynamic resource reservation via DCI can be supported in LTE-MTC</w:t>
            </w:r>
            <w:r w:rsidR="009707A1">
              <w:rPr>
                <w:rFonts w:ascii="Times New Roman" w:hAnsi="Times New Roman" w:cs="Times New Roman"/>
                <w:sz w:val="20"/>
                <w:lang w:val="en-GB" w:eastAsia="zh-CN"/>
              </w:rPr>
              <w:t>.</w:t>
            </w:r>
          </w:p>
        </w:tc>
      </w:tr>
      <w:tr w:rsidR="006F6384" w:rsidRPr="008A1717" w14:paraId="6BEBE121" w14:textId="77777777" w:rsidTr="000937A5">
        <w:tc>
          <w:tcPr>
            <w:tcW w:w="2830" w:type="dxa"/>
          </w:tcPr>
          <w:p w14:paraId="2C11DF3F" w14:textId="4D34D0FD" w:rsidR="006F6384" w:rsidRPr="003E082E" w:rsidRDefault="006F638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_Ref5045604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[4]</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ZTE</w:t>
            </w:r>
          </w:p>
        </w:tc>
        <w:tc>
          <w:tcPr>
            <w:tcW w:w="6799" w:type="dxa"/>
          </w:tcPr>
          <w:p w14:paraId="5DD7F43E" w14:textId="77777777" w:rsidR="00546A5B" w:rsidRPr="00237F02" w:rsidRDefault="00546A5B" w:rsidP="00546A5B">
            <w:pPr>
              <w:rPr>
                <w:rFonts w:ascii="Times New Roman" w:hAnsi="Times New Roman" w:cs="Times New Roman"/>
                <w:sz w:val="20"/>
                <w:lang w:eastAsia="zh-CN"/>
              </w:rPr>
            </w:pPr>
            <w:r>
              <w:rPr>
                <w:rFonts w:ascii="Times New Roman" w:hAnsi="Times New Roman" w:cs="Times New Roman"/>
                <w:sz w:val="20"/>
                <w:lang w:eastAsia="zh-CN"/>
              </w:rPr>
              <w:t xml:space="preserve">Proposal: </w:t>
            </w:r>
            <w:r w:rsidRPr="00237F02">
              <w:rPr>
                <w:rFonts w:ascii="Times New Roman" w:hAnsi="Times New Roman" w:cs="Times New Roman"/>
                <w:sz w:val="20"/>
                <w:lang w:eastAsia="zh-CN"/>
              </w:rPr>
              <w:t>Symbol level resource reservation is semi-statically configured.</w:t>
            </w:r>
          </w:p>
          <w:p w14:paraId="40C1E56F" w14:textId="77777777" w:rsidR="00546A5B" w:rsidRPr="00E14296" w:rsidRDefault="00546A5B" w:rsidP="00546A5B">
            <w:pPr>
              <w:rPr>
                <w:rFonts w:ascii="Times New Roman" w:hAnsi="Times New Roman" w:cs="Times New Roman"/>
                <w:sz w:val="20"/>
                <w:lang w:eastAsia="zh-CN"/>
              </w:rPr>
            </w:pPr>
            <w:r w:rsidRPr="00E14296">
              <w:rPr>
                <w:rFonts w:ascii="Times New Roman" w:hAnsi="Times New Roman" w:cs="Times New Roman"/>
                <w:sz w:val="20"/>
                <w:lang w:eastAsia="zh-CN"/>
              </w:rPr>
              <w:t>Observation: Semi-statically configured resource reservation cannot resolve the collision caused by URLLC service.</w:t>
            </w:r>
          </w:p>
          <w:p w14:paraId="7F2D269C" w14:textId="3E6D9FF9" w:rsidR="00421BF2" w:rsidRDefault="00421BF2" w:rsidP="00421BF2">
            <w:pPr>
              <w:rPr>
                <w:rFonts w:ascii="Times New Roman" w:hAnsi="Times New Roman" w:cs="Times New Roman"/>
                <w:sz w:val="20"/>
                <w:lang w:eastAsia="zh-CN"/>
              </w:rPr>
            </w:pPr>
            <w:r w:rsidRPr="00E14296">
              <w:rPr>
                <w:rFonts w:ascii="Times New Roman" w:hAnsi="Times New Roman" w:cs="Times New Roman"/>
                <w:sz w:val="20"/>
                <w:lang w:eastAsia="zh-CN"/>
              </w:rPr>
              <w:t>Observation: Compared with legacy LTE, due to repetition of LTE-MTC transmission, collision between LTE-MTC transmission and NR URLLC may be more serious.</w:t>
            </w:r>
          </w:p>
          <w:p w14:paraId="7286941A" w14:textId="77777777" w:rsidR="006F6384" w:rsidRDefault="00546A5B" w:rsidP="00546A5B">
            <w:pPr>
              <w:rPr>
                <w:rFonts w:ascii="Times New Roman" w:hAnsi="Times New Roman" w:cs="Times New Roman"/>
                <w:sz w:val="20"/>
                <w:lang w:eastAsia="zh-CN"/>
              </w:rPr>
            </w:pPr>
            <w:r w:rsidRPr="00E14296">
              <w:rPr>
                <w:rFonts w:ascii="Times New Roman" w:hAnsi="Times New Roman" w:cs="Times New Roman"/>
                <w:sz w:val="20"/>
                <w:lang w:eastAsia="zh-CN"/>
              </w:rPr>
              <w:t>Proposal: For LTE-MTC transmission, dynamic signaling in DCI can be used to indicate information of one-shot downlink resource reservation.</w:t>
            </w:r>
          </w:p>
          <w:p w14:paraId="44AE4077" w14:textId="48FD07F4" w:rsidR="006245D4" w:rsidRPr="003E082E" w:rsidRDefault="006245D4" w:rsidP="00546A5B">
            <w:pPr>
              <w:rPr>
                <w:rFonts w:ascii="Times New Roman" w:hAnsi="Times New Roman" w:cs="Times New Roman"/>
                <w:sz w:val="20"/>
                <w:lang w:val="en-GB" w:eastAsia="zh-CN"/>
              </w:rPr>
            </w:pPr>
            <w:r w:rsidRPr="006245D4">
              <w:rPr>
                <w:rFonts w:ascii="Times New Roman" w:hAnsi="Times New Roman" w:cs="Times New Roman"/>
                <w:sz w:val="20"/>
                <w:lang w:val="en-GB" w:eastAsia="zh-CN"/>
              </w:rPr>
              <w:t>Proposal: For LTE-MTC transmission, a dynamic dedicated control information is used to indicate information of one-shot uplink resource reservation.</w:t>
            </w:r>
          </w:p>
        </w:tc>
      </w:tr>
      <w:tr w:rsidR="006F6384" w:rsidRPr="008A1717" w14:paraId="73863FC2" w14:textId="77777777" w:rsidTr="000937A5">
        <w:tc>
          <w:tcPr>
            <w:tcW w:w="2830" w:type="dxa"/>
          </w:tcPr>
          <w:p w14:paraId="5328AF44" w14:textId="50EFE5CB" w:rsidR="006F6384" w:rsidRPr="003E082E" w:rsidRDefault="006F638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_Ref5044500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[5]</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LG Electronics</w:t>
            </w:r>
          </w:p>
        </w:tc>
        <w:tc>
          <w:tcPr>
            <w:tcW w:w="6799" w:type="dxa"/>
          </w:tcPr>
          <w:p w14:paraId="7ACE7257" w14:textId="77777777" w:rsidR="007702C6" w:rsidRPr="00D41D15" w:rsidRDefault="007702C6" w:rsidP="007702C6">
            <w:pPr>
              <w:rPr>
                <w:rFonts w:ascii="Times New Roman" w:hAnsi="Times New Roman" w:cs="Times New Roman"/>
                <w:sz w:val="20"/>
                <w:szCs w:val="20"/>
              </w:rPr>
            </w:pPr>
            <w:r w:rsidRPr="00D41D15">
              <w:rPr>
                <w:rFonts w:ascii="Times New Roman" w:hAnsi="Times New Roman" w:cs="Times New Roman"/>
                <w:sz w:val="20"/>
                <w:szCs w:val="20"/>
              </w:rPr>
              <w:t>Observation: The followings may have significant impacts on the current LTE-MTC eNB and UE behavior, and trade off complexity and benefits from those have not been thoroughly studied.</w:t>
            </w:r>
          </w:p>
          <w:p w14:paraId="42F2B13D" w14:textId="5F864650" w:rsidR="006F6384" w:rsidRPr="007702C6" w:rsidRDefault="007702C6" w:rsidP="007702C6">
            <w:pPr>
              <w:pStyle w:val="ListParagraph"/>
              <w:numPr>
                <w:ilvl w:val="0"/>
                <w:numId w:val="49"/>
              </w:numPr>
              <w:rPr>
                <w:rFonts w:ascii="Times New Roman" w:hAnsi="Times New Roman" w:cs="Times New Roman"/>
                <w:sz w:val="20"/>
                <w:szCs w:val="20"/>
              </w:rPr>
            </w:pPr>
            <w:r w:rsidRPr="00970457">
              <w:rPr>
                <w:rFonts w:ascii="Times New Roman" w:hAnsi="Times New Roman" w:cs="Times New Roman"/>
                <w:sz w:val="20"/>
                <w:szCs w:val="20"/>
              </w:rPr>
              <w:t>eNB can furthermore dynamically override or indicate additional reserved resource via DCI</w:t>
            </w:r>
          </w:p>
        </w:tc>
      </w:tr>
      <w:tr w:rsidR="006F6384" w:rsidRPr="007C2B1D" w14:paraId="64ADB42F" w14:textId="77777777" w:rsidTr="000937A5">
        <w:tc>
          <w:tcPr>
            <w:tcW w:w="2830" w:type="dxa"/>
          </w:tcPr>
          <w:p w14:paraId="0048E413" w14:textId="6A2BE2A9" w:rsidR="006F6384" w:rsidRPr="003E082E" w:rsidRDefault="006F6384" w:rsidP="000937A5">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_Ref8595986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[6]</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Nokia, Nokia Shanghai Bell</w:t>
            </w:r>
          </w:p>
        </w:tc>
        <w:tc>
          <w:tcPr>
            <w:tcW w:w="6799" w:type="dxa"/>
          </w:tcPr>
          <w:p w14:paraId="07626447" w14:textId="168711C1" w:rsidR="006F6384" w:rsidRPr="003E082E" w:rsidRDefault="00940F0A" w:rsidP="000937A5">
            <w:pPr>
              <w:rPr>
                <w:rFonts w:ascii="Times New Roman" w:hAnsi="Times New Roman" w:cs="Times New Roman"/>
                <w:sz w:val="20"/>
                <w:szCs w:val="20"/>
              </w:rPr>
            </w:pPr>
            <w:r w:rsidRPr="00201BF4">
              <w:rPr>
                <w:rFonts w:ascii="Times New Roman" w:hAnsi="Times New Roman" w:cs="Times New Roman"/>
                <w:sz w:val="20"/>
                <w:szCs w:val="20"/>
              </w:rPr>
              <w:t>Proposal: eMTC reserved resource is semi-static configured. It is for FFS whether the eNB can dynamically override the reserved resource via DCI.</w:t>
            </w:r>
          </w:p>
        </w:tc>
      </w:tr>
      <w:tr w:rsidR="00B909BE" w:rsidRPr="007C2B1D" w14:paraId="10BD4DE6" w14:textId="77777777" w:rsidTr="000937A5">
        <w:tc>
          <w:tcPr>
            <w:tcW w:w="2830" w:type="dxa"/>
          </w:tcPr>
          <w:p w14:paraId="76E666B9" w14:textId="074BE84B" w:rsidR="00B909BE" w:rsidRPr="003E082E" w:rsidRDefault="00B909BE" w:rsidP="00B909BE">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_Ref529801415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[7]</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Qualcomm Incorporated</w:t>
            </w:r>
          </w:p>
        </w:tc>
        <w:tc>
          <w:tcPr>
            <w:tcW w:w="6799" w:type="dxa"/>
          </w:tcPr>
          <w:p w14:paraId="7FFFBB31" w14:textId="79FA644B" w:rsidR="00B909BE" w:rsidRPr="003E082E" w:rsidRDefault="00B909BE" w:rsidP="00B909BE">
            <w:pPr>
              <w:rPr>
                <w:rFonts w:ascii="Times New Roman" w:hAnsi="Times New Roman" w:cs="Times New Roman"/>
                <w:sz w:val="20"/>
                <w:szCs w:val="20"/>
              </w:rPr>
            </w:pPr>
            <w:r w:rsidRPr="004A53AB">
              <w:rPr>
                <w:rFonts w:ascii="Times New Roman" w:hAnsi="Times New Roman" w:cs="Times New Roman"/>
                <w:sz w:val="20"/>
                <w:szCs w:val="20"/>
              </w:rPr>
              <w:t xml:space="preserve">Proposal: For unicast transmission, dynamic DCI </w:t>
            </w:r>
            <w:r w:rsidRPr="004A53AB">
              <w:rPr>
                <w:rFonts w:ascii="Times New Roman" w:hAnsi="Times New Roman" w:cs="Times New Roman"/>
                <w:sz w:val="20"/>
                <w:szCs w:val="20"/>
                <w:lang w:val="en-GB"/>
              </w:rPr>
              <w:t>signalling</w:t>
            </w:r>
            <w:r w:rsidRPr="004A53AB">
              <w:rPr>
                <w:rFonts w:ascii="Times New Roman" w:hAnsi="Times New Roman" w:cs="Times New Roman"/>
                <w:sz w:val="20"/>
                <w:szCs w:val="20"/>
              </w:rPr>
              <w:t xml:space="preserve"> can be used to indicate which reserved resources are used for the scheduled PDSCH/PUSCH transmission</w:t>
            </w:r>
          </w:p>
        </w:tc>
      </w:tr>
    </w:tbl>
    <w:p w14:paraId="45855FB0" w14:textId="77777777" w:rsidR="00B2090E" w:rsidRDefault="00B2090E" w:rsidP="00B2090E">
      <w:pPr>
        <w:pStyle w:val="Reference"/>
        <w:numPr>
          <w:ilvl w:val="0"/>
          <w:numId w:val="0"/>
        </w:numPr>
        <w:ind w:left="567" w:hanging="567"/>
        <w:rPr>
          <w:rFonts w:ascii="Arial" w:hAnsi="Arial" w:cs="Arial"/>
          <w:sz w:val="20"/>
        </w:rPr>
      </w:pPr>
    </w:p>
    <w:p w14:paraId="0F7ADF90" w14:textId="5AA1F045" w:rsidR="00621970" w:rsidRDefault="0054154D" w:rsidP="00621970">
      <w:pPr>
        <w:pStyle w:val="Heading1"/>
      </w:pPr>
      <w:r>
        <w:t>Other proposals and observations</w:t>
      </w:r>
    </w:p>
    <w:p w14:paraId="13D01635" w14:textId="3F93A814" w:rsidR="003A5FF4" w:rsidRDefault="003A5FF4" w:rsidP="003A5FF4">
      <w:pPr>
        <w:pStyle w:val="BodyText"/>
        <w:rPr>
          <w:rFonts w:ascii="Arial" w:hAnsi="Arial" w:cs="Arial"/>
          <w:sz w:val="20"/>
        </w:rPr>
      </w:pPr>
      <w:r>
        <w:rPr>
          <w:rFonts w:ascii="Arial" w:hAnsi="Arial" w:cs="Arial"/>
          <w:sz w:val="20"/>
        </w:rPr>
        <w:t>Th</w:t>
      </w:r>
      <w:r w:rsidR="00423DDD">
        <w:rPr>
          <w:rFonts w:ascii="Arial" w:hAnsi="Arial" w:cs="Arial"/>
          <w:sz w:val="20"/>
        </w:rPr>
        <w:t>e table below lists other proposals and observations.</w:t>
      </w:r>
    </w:p>
    <w:tbl>
      <w:tblPr>
        <w:tblStyle w:val="TableGrid"/>
        <w:tblW w:w="0" w:type="auto"/>
        <w:tblLook w:val="04A0" w:firstRow="1" w:lastRow="0" w:firstColumn="1" w:lastColumn="0" w:noHBand="0" w:noVBand="1"/>
      </w:tblPr>
      <w:tblGrid>
        <w:gridCol w:w="2830"/>
        <w:gridCol w:w="6799"/>
      </w:tblGrid>
      <w:tr w:rsidR="002946A6" w:rsidRPr="008A1717" w14:paraId="3EA7771B" w14:textId="77777777" w:rsidTr="00373131">
        <w:tc>
          <w:tcPr>
            <w:tcW w:w="2830" w:type="dxa"/>
          </w:tcPr>
          <w:p w14:paraId="762C35C5" w14:textId="11D9A56F"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fldChar w:fldCharType="begin"/>
            </w:r>
            <w:r>
              <w:rPr>
                <w:rFonts w:ascii="Times New Roman" w:hAnsi="Times New Roman" w:cs="Times New Roman"/>
                <w:sz w:val="20"/>
                <w:lang w:val="en-GB" w:eastAsia="zh-CN"/>
              </w:rPr>
              <w:instrText xml:space="preserve"> REF _Ref5044500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[5]</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LG Electronics</w:t>
            </w:r>
          </w:p>
        </w:tc>
        <w:tc>
          <w:tcPr>
            <w:tcW w:w="6799" w:type="dxa"/>
          </w:tcPr>
          <w:p w14:paraId="501D1C26" w14:textId="77777777" w:rsidR="004635D6" w:rsidRDefault="004635D6" w:rsidP="004635D6">
            <w:pPr>
              <w:rPr>
                <w:rFonts w:ascii="Times New Roman" w:hAnsi="Times New Roman" w:cs="Times New Roman"/>
                <w:sz w:val="20"/>
                <w:szCs w:val="20"/>
              </w:rPr>
            </w:pPr>
            <w:r w:rsidRPr="004635D6">
              <w:rPr>
                <w:rFonts w:ascii="Times New Roman" w:hAnsi="Times New Roman" w:cs="Times New Roman"/>
                <w:sz w:val="20"/>
                <w:szCs w:val="20"/>
              </w:rPr>
              <w:t>Observation: The followings may have significant impacts on the current LTE-MTC eNB and UE behavior, and trade off complexity and benefits from those have not been thoroughly studied.</w:t>
            </w:r>
          </w:p>
          <w:p w14:paraId="1917BC82" w14:textId="5796D2AD" w:rsidR="002946A6" w:rsidRPr="004635D6" w:rsidRDefault="004635D6" w:rsidP="004635D6">
            <w:pPr>
              <w:pStyle w:val="ListParagraph"/>
              <w:numPr>
                <w:ilvl w:val="0"/>
                <w:numId w:val="49"/>
              </w:numPr>
              <w:rPr>
                <w:rFonts w:ascii="Times New Roman" w:hAnsi="Times New Roman" w:cs="Times New Roman"/>
                <w:sz w:val="20"/>
                <w:szCs w:val="20"/>
              </w:rPr>
            </w:pPr>
            <w:r w:rsidRPr="004635D6">
              <w:rPr>
                <w:rFonts w:ascii="Times New Roman" w:hAnsi="Times New Roman" w:cs="Times New Roman"/>
                <w:sz w:val="20"/>
                <w:szCs w:val="20"/>
              </w:rPr>
              <w:t>RAN1 studies LTE-MTC transmission outside the legacy LTE system bandwidth (for reduced NR reserved resource cost for CRS, SIB1-BR, paging, etc.)</w:t>
            </w:r>
          </w:p>
        </w:tc>
      </w:tr>
      <w:tr w:rsidR="002946A6" w:rsidRPr="007C2B1D" w14:paraId="79803C8E" w14:textId="77777777" w:rsidTr="00373131">
        <w:tc>
          <w:tcPr>
            <w:tcW w:w="2830" w:type="dxa"/>
          </w:tcPr>
          <w:p w14:paraId="7BC585F0" w14:textId="2A75E138" w:rsidR="002946A6" w:rsidRPr="003E082E" w:rsidRDefault="002946A6" w:rsidP="00373131">
            <w:pPr>
              <w:rPr>
                <w:rFonts w:ascii="Times New Roman" w:hAnsi="Times New Roman" w:cs="Times New Roman"/>
                <w:sz w:val="20"/>
                <w:lang w:val="en-GB" w:eastAsia="zh-CN"/>
              </w:rPr>
            </w:pPr>
            <w:r>
              <w:rPr>
                <w:rFonts w:ascii="Times New Roman" w:hAnsi="Times New Roman" w:cs="Times New Roman"/>
                <w:sz w:val="20"/>
                <w:lang w:val="en-GB" w:eastAsia="zh-CN"/>
              </w:rPr>
              <w:lastRenderedPageBreak/>
              <w:fldChar w:fldCharType="begin"/>
            </w:r>
            <w:r>
              <w:rPr>
                <w:rFonts w:ascii="Times New Roman" w:hAnsi="Times New Roman" w:cs="Times New Roman"/>
                <w:sz w:val="20"/>
                <w:lang w:val="en-GB" w:eastAsia="zh-CN"/>
              </w:rPr>
              <w:instrText xml:space="preserve"> REF _Ref529801415 \r \h </w:instrText>
            </w:r>
            <w:r>
              <w:rPr>
                <w:rFonts w:ascii="Times New Roman" w:hAnsi="Times New Roman" w:cs="Times New Roman"/>
                <w:sz w:val="20"/>
                <w:lang w:val="en-GB" w:eastAsia="zh-CN"/>
              </w:rPr>
            </w:r>
            <w:r>
              <w:rPr>
                <w:rFonts w:ascii="Times New Roman" w:hAnsi="Times New Roman" w:cs="Times New Roman"/>
                <w:sz w:val="20"/>
                <w:lang w:val="en-GB" w:eastAsia="zh-CN"/>
              </w:rPr>
              <w:fldChar w:fldCharType="separate"/>
            </w:r>
            <w:r w:rsidR="00DD2571">
              <w:rPr>
                <w:rFonts w:ascii="Times New Roman" w:hAnsi="Times New Roman" w:cs="Times New Roman"/>
                <w:sz w:val="20"/>
                <w:lang w:val="en-GB" w:eastAsia="zh-CN"/>
              </w:rPr>
              <w:t>[7]</w:t>
            </w:r>
            <w:r>
              <w:rPr>
                <w:rFonts w:ascii="Times New Roman" w:hAnsi="Times New Roman" w:cs="Times New Roman"/>
                <w:sz w:val="20"/>
                <w:lang w:val="en-GB" w:eastAsia="zh-CN"/>
              </w:rPr>
              <w:fldChar w:fldCharType="end"/>
            </w:r>
            <w:r>
              <w:rPr>
                <w:rFonts w:ascii="Times New Roman" w:hAnsi="Times New Roman" w:cs="Times New Roman"/>
                <w:sz w:val="20"/>
                <w:lang w:val="en-GB" w:eastAsia="zh-CN"/>
              </w:rPr>
              <w:t xml:space="preserve"> </w:t>
            </w:r>
            <w:r w:rsidRPr="003E082E">
              <w:rPr>
                <w:rFonts w:ascii="Times New Roman" w:hAnsi="Times New Roman" w:cs="Times New Roman"/>
                <w:sz w:val="20"/>
                <w:lang w:val="en-GB" w:eastAsia="zh-CN"/>
              </w:rPr>
              <w:t>Qualcomm Incorporated</w:t>
            </w:r>
          </w:p>
        </w:tc>
        <w:tc>
          <w:tcPr>
            <w:tcW w:w="6799" w:type="dxa"/>
          </w:tcPr>
          <w:p w14:paraId="63B03222" w14:textId="069E13B2" w:rsidR="002946A6" w:rsidRPr="003E082E" w:rsidRDefault="00C85526" w:rsidP="00373131">
            <w:pPr>
              <w:rPr>
                <w:rFonts w:ascii="Times New Roman" w:hAnsi="Times New Roman" w:cs="Times New Roman"/>
                <w:sz w:val="20"/>
                <w:szCs w:val="20"/>
              </w:rPr>
            </w:pPr>
            <w:r w:rsidRPr="00C85526">
              <w:rPr>
                <w:rFonts w:ascii="Times New Roman" w:hAnsi="Times New Roman" w:cs="Times New Roman"/>
                <w:sz w:val="20"/>
                <w:szCs w:val="20"/>
              </w:rPr>
              <w:t>Proposal: For improving the performance of NR and LTE-MTC coexistence, the enhancements on paging frequency hopping can be considered</w:t>
            </w:r>
          </w:p>
        </w:tc>
      </w:tr>
    </w:tbl>
    <w:p w14:paraId="1727AC75" w14:textId="77777777" w:rsidR="005D723C" w:rsidRPr="008A1717" w:rsidRDefault="005D723C" w:rsidP="005D723C">
      <w:pPr>
        <w:pStyle w:val="Reference"/>
        <w:numPr>
          <w:ilvl w:val="0"/>
          <w:numId w:val="0"/>
        </w:numPr>
        <w:ind w:left="567" w:hanging="567"/>
        <w:rPr>
          <w:rFonts w:ascii="Arial" w:hAnsi="Arial" w:cs="Arial"/>
          <w:sz w:val="20"/>
        </w:rPr>
      </w:pPr>
    </w:p>
    <w:p w14:paraId="46CF5031" w14:textId="77777777" w:rsidR="00531537" w:rsidRDefault="00531537" w:rsidP="00AD0CF0">
      <w:pPr>
        <w:pStyle w:val="Heading1"/>
        <w:numPr>
          <w:ilvl w:val="0"/>
          <w:numId w:val="0"/>
        </w:numPr>
        <w:ind w:left="432" w:hanging="432"/>
        <w:jc w:val="both"/>
        <w:textAlignment w:val="auto"/>
        <w:rPr>
          <w:lang w:val="en-US"/>
        </w:rPr>
      </w:pPr>
      <w:r>
        <w:rPr>
          <w:lang w:val="en-US"/>
        </w:rPr>
        <w:t>References</w:t>
      </w:r>
    </w:p>
    <w:bookmarkStart w:id="3" w:name="_Ref189809556"/>
    <w:bookmarkStart w:id="4" w:name="_Ref174151459"/>
    <w:bookmarkStart w:id="5" w:name="_Ref522090563"/>
    <w:p w14:paraId="2548A56D" w14:textId="7B22A718" w:rsidR="008903C6" w:rsidRPr="00D21622" w:rsidRDefault="00783CCB" w:rsidP="008903C6">
      <w:pPr>
        <w:pStyle w:val="Reference"/>
        <w:numPr>
          <w:ilvl w:val="0"/>
          <w:numId w:val="10"/>
        </w:numPr>
        <w:overflowPunct w:val="0"/>
        <w:autoSpaceDE w:val="0"/>
        <w:autoSpaceDN w:val="0"/>
        <w:adjustRightInd w:val="0"/>
        <w:spacing w:after="120" w:line="240" w:lineRule="auto"/>
        <w:jc w:val="both"/>
        <w:rPr>
          <w:rFonts w:ascii="Arial" w:hAnsi="Arial" w:cs="Arial"/>
          <w:sz w:val="20"/>
        </w:rPr>
      </w:pPr>
      <w:r w:rsidRPr="00D21622">
        <w:rPr>
          <w:rFonts w:ascii="Arial" w:hAnsi="Arial" w:cs="Arial"/>
          <w:sz w:val="20"/>
        </w:rPr>
        <w:fldChar w:fldCharType="begin"/>
      </w:r>
      <w:r w:rsidRPr="00D21622">
        <w:rPr>
          <w:rFonts w:ascii="Arial" w:hAnsi="Arial" w:cs="Arial"/>
          <w:sz w:val="20"/>
        </w:rPr>
        <w:instrText xml:space="preserve"> HYPERLINK "http://www.3gpp.org/ftp/tsg_ran/TSG_RAN/TSGR_83/Docs/RP-190770.zip" </w:instrText>
      </w:r>
      <w:r w:rsidRPr="00D21622">
        <w:rPr>
          <w:rFonts w:ascii="Arial" w:hAnsi="Arial" w:cs="Arial"/>
          <w:sz w:val="20"/>
        </w:rPr>
        <w:fldChar w:fldCharType="separate"/>
      </w:r>
      <w:r w:rsidRPr="00D21622">
        <w:rPr>
          <w:rStyle w:val="Hyperlink"/>
          <w:rFonts w:ascii="Arial" w:hAnsi="Arial" w:cs="Arial"/>
          <w:sz w:val="20"/>
          <w:lang w:val="en-US"/>
        </w:rPr>
        <w:t>RP-190770</w:t>
      </w:r>
      <w:r w:rsidRPr="00D21622">
        <w:rPr>
          <w:rFonts w:ascii="Arial" w:hAnsi="Arial" w:cs="Arial"/>
          <w:sz w:val="20"/>
        </w:rPr>
        <w:fldChar w:fldCharType="end"/>
      </w:r>
      <w:r w:rsidR="008903C6" w:rsidRPr="00D21622">
        <w:rPr>
          <w:rFonts w:ascii="Arial" w:hAnsi="Arial" w:cs="Arial"/>
          <w:sz w:val="20"/>
        </w:rPr>
        <w:t>, “Revised WID: Additional MTC enhancements for LTE”</w:t>
      </w:r>
      <w:bookmarkEnd w:id="3"/>
      <w:bookmarkEnd w:id="4"/>
    </w:p>
    <w:bookmarkStart w:id="6" w:name="_Ref1595240"/>
    <w:bookmarkStart w:id="7" w:name="_Ref529801572"/>
    <w:bookmarkStart w:id="8" w:name="_Ref529801413"/>
    <w:bookmarkEnd w:id="5"/>
    <w:p w14:paraId="07993681" w14:textId="205A8BD2" w:rsidR="00783CCB" w:rsidRPr="00D21622" w:rsidRDefault="00D21622" w:rsidP="00D21622">
      <w:pPr>
        <w:pStyle w:val="Reference"/>
        <w:numPr>
          <w:ilvl w:val="0"/>
          <w:numId w:val="10"/>
        </w:numPr>
        <w:rPr>
          <w:rFonts w:ascii="Arial" w:hAnsi="Arial" w:cs="Arial"/>
          <w:bCs/>
          <w:sz w:val="20"/>
          <w:u w:val="single"/>
        </w:rPr>
      </w:pPr>
      <w:r w:rsidRPr="00D21622">
        <w:rPr>
          <w:rFonts w:ascii="Arial" w:hAnsi="Arial" w:cs="Arial"/>
          <w:bCs/>
          <w:sz w:val="20"/>
          <w:u w:val="single"/>
        </w:rPr>
        <w:fldChar w:fldCharType="begin"/>
      </w:r>
      <w:r w:rsidRPr="00D21622">
        <w:rPr>
          <w:rFonts w:ascii="Arial" w:hAnsi="Arial" w:cs="Arial"/>
          <w:bCs/>
          <w:sz w:val="20"/>
          <w:u w:val="single"/>
        </w:rPr>
        <w:instrText xml:space="preserve"> HYPERLINK "http://www.3gpp.org/ftp/TSG_RAN/WG1_RL1/TSGR1_97/Docs/R1-1905959.zip" </w:instrText>
      </w:r>
      <w:r w:rsidRPr="00D21622">
        <w:rPr>
          <w:rFonts w:ascii="Arial" w:hAnsi="Arial" w:cs="Arial"/>
          <w:bCs/>
          <w:sz w:val="20"/>
          <w:u w:val="single"/>
        </w:rPr>
        <w:fldChar w:fldCharType="separate"/>
      </w:r>
      <w:r w:rsidRPr="00D21622">
        <w:rPr>
          <w:rStyle w:val="Hyperlink"/>
          <w:rFonts w:ascii="Arial" w:hAnsi="Arial" w:cs="Arial"/>
          <w:bCs/>
          <w:sz w:val="20"/>
        </w:rPr>
        <w:t>R1-1905959</w:t>
      </w:r>
      <w:r w:rsidRPr="00D21622">
        <w:rPr>
          <w:rFonts w:ascii="Arial" w:hAnsi="Arial" w:cs="Arial"/>
          <w:sz w:val="20"/>
        </w:rPr>
        <w:fldChar w:fldCharType="end"/>
      </w:r>
      <w:r w:rsidR="00783CCB" w:rsidRPr="00D21622">
        <w:rPr>
          <w:rFonts w:ascii="Arial" w:hAnsi="Arial" w:cs="Arial"/>
          <w:sz w:val="20"/>
        </w:rPr>
        <w:t>, “Coexistence of LTE-MTC with NR”, Ericsson</w:t>
      </w:r>
      <w:bookmarkEnd w:id="6"/>
    </w:p>
    <w:bookmarkStart w:id="9" w:name="_Ref5045587"/>
    <w:p w14:paraId="4B3CF6E4" w14:textId="4CB2C7C3" w:rsidR="00B13B8D" w:rsidRPr="00D21622" w:rsidRDefault="00D21622" w:rsidP="00D21622">
      <w:pPr>
        <w:pStyle w:val="Reference"/>
        <w:numPr>
          <w:ilvl w:val="0"/>
          <w:numId w:val="10"/>
        </w:numPr>
        <w:rPr>
          <w:rFonts w:ascii="Arial" w:hAnsi="Arial" w:cs="Arial"/>
          <w:bCs/>
          <w:sz w:val="20"/>
          <w:u w:val="single"/>
        </w:rPr>
      </w:pPr>
      <w:r w:rsidRPr="00D21622">
        <w:rPr>
          <w:rFonts w:ascii="Arial" w:hAnsi="Arial" w:cs="Arial"/>
          <w:bCs/>
          <w:sz w:val="20"/>
          <w:u w:val="single"/>
        </w:rPr>
        <w:fldChar w:fldCharType="begin"/>
      </w:r>
      <w:r w:rsidRPr="00D21622">
        <w:rPr>
          <w:rFonts w:ascii="Arial" w:hAnsi="Arial" w:cs="Arial"/>
          <w:bCs/>
          <w:sz w:val="20"/>
          <w:u w:val="single"/>
        </w:rPr>
        <w:instrText xml:space="preserve"> HYPERLINK "http://www.3gpp.org/ftp/TSG_RAN/WG1_RL1/TSGR1_97/Docs/R1-1905984.zip" </w:instrText>
      </w:r>
      <w:r w:rsidRPr="00D21622">
        <w:rPr>
          <w:rFonts w:ascii="Arial" w:hAnsi="Arial" w:cs="Arial"/>
          <w:bCs/>
          <w:sz w:val="20"/>
          <w:u w:val="single"/>
        </w:rPr>
        <w:fldChar w:fldCharType="separate"/>
      </w:r>
      <w:r w:rsidRPr="00D21622">
        <w:rPr>
          <w:rStyle w:val="Hyperlink"/>
          <w:rFonts w:ascii="Arial" w:hAnsi="Arial" w:cs="Arial"/>
          <w:bCs/>
          <w:sz w:val="20"/>
        </w:rPr>
        <w:t>R1-1905984</w:t>
      </w:r>
      <w:r w:rsidRPr="00D21622">
        <w:rPr>
          <w:rFonts w:ascii="Arial" w:hAnsi="Arial" w:cs="Arial"/>
          <w:sz w:val="20"/>
        </w:rPr>
        <w:fldChar w:fldCharType="end"/>
      </w:r>
      <w:r w:rsidR="00B13B8D" w:rsidRPr="00D21622">
        <w:rPr>
          <w:rFonts w:ascii="Arial" w:hAnsi="Arial" w:cs="Arial"/>
          <w:sz w:val="20"/>
        </w:rPr>
        <w:t>, “</w:t>
      </w:r>
      <w:r w:rsidR="00D57A01" w:rsidRPr="00D21622">
        <w:rPr>
          <w:rFonts w:ascii="Arial" w:hAnsi="Arial" w:cs="Arial"/>
          <w:sz w:val="20"/>
        </w:rPr>
        <w:t>On eMTC c</w:t>
      </w:r>
      <w:r w:rsidR="00B13B8D" w:rsidRPr="00D21622">
        <w:rPr>
          <w:rFonts w:ascii="Arial" w:hAnsi="Arial" w:cs="Arial"/>
          <w:sz w:val="20"/>
        </w:rPr>
        <w:t>o-existence with NR”, Huawei, HiSilicon</w:t>
      </w:r>
      <w:bookmarkEnd w:id="7"/>
      <w:bookmarkEnd w:id="9"/>
    </w:p>
    <w:bookmarkStart w:id="10" w:name="_Ref5045604"/>
    <w:bookmarkStart w:id="11" w:name="_Ref529801589"/>
    <w:bookmarkStart w:id="12" w:name="_Ref529801580"/>
    <w:bookmarkStart w:id="13" w:name="_Ref529801527"/>
    <w:bookmarkEnd w:id="8"/>
    <w:p w14:paraId="7ED322A0" w14:textId="3C6CA61B" w:rsidR="00D21622" w:rsidRPr="00D21622" w:rsidRDefault="00D21622" w:rsidP="00D21622">
      <w:pPr>
        <w:pStyle w:val="Reference"/>
        <w:numPr>
          <w:ilvl w:val="0"/>
          <w:numId w:val="10"/>
        </w:numPr>
        <w:rPr>
          <w:rFonts w:ascii="Arial" w:hAnsi="Arial" w:cs="Arial"/>
          <w:bCs/>
          <w:sz w:val="20"/>
          <w:u w:val="single"/>
        </w:rPr>
      </w:pPr>
      <w:r w:rsidRPr="00D21622">
        <w:rPr>
          <w:rFonts w:ascii="Arial" w:hAnsi="Arial" w:cs="Arial"/>
          <w:bCs/>
          <w:sz w:val="20"/>
          <w:u w:val="single"/>
        </w:rPr>
        <w:fldChar w:fldCharType="begin"/>
      </w:r>
      <w:r w:rsidRPr="00D21622">
        <w:rPr>
          <w:rFonts w:ascii="Arial" w:hAnsi="Arial" w:cs="Arial"/>
          <w:bCs/>
          <w:sz w:val="20"/>
          <w:u w:val="single"/>
        </w:rPr>
        <w:instrText xml:space="preserve"> HYPERLINK "http://www.3gpp.org/ftp/TSG_RAN/WG1_RL1/TSGR1_97/Docs/R1-1906498.zip" </w:instrText>
      </w:r>
      <w:r w:rsidRPr="00D21622">
        <w:rPr>
          <w:rFonts w:ascii="Arial" w:hAnsi="Arial" w:cs="Arial"/>
          <w:bCs/>
          <w:sz w:val="20"/>
          <w:u w:val="single"/>
        </w:rPr>
        <w:fldChar w:fldCharType="separate"/>
      </w:r>
      <w:r w:rsidRPr="00D21622">
        <w:rPr>
          <w:rStyle w:val="Hyperlink"/>
          <w:rFonts w:ascii="Arial" w:hAnsi="Arial" w:cs="Arial"/>
          <w:bCs/>
          <w:sz w:val="20"/>
        </w:rPr>
        <w:t>R1-1906498</w:t>
      </w:r>
      <w:r w:rsidRPr="00D21622">
        <w:rPr>
          <w:rFonts w:ascii="Arial" w:hAnsi="Arial" w:cs="Arial"/>
          <w:sz w:val="20"/>
        </w:rPr>
        <w:fldChar w:fldCharType="end"/>
      </w:r>
      <w:r w:rsidRPr="00D21622">
        <w:rPr>
          <w:rFonts w:ascii="Arial" w:hAnsi="Arial" w:cs="Arial"/>
          <w:sz w:val="20"/>
        </w:rPr>
        <w:t>, “Coexistence of LTE-MTC with NR”, ZTE</w:t>
      </w:r>
      <w:bookmarkEnd w:id="10"/>
    </w:p>
    <w:bookmarkStart w:id="14" w:name="_Ref5044500"/>
    <w:p w14:paraId="459DF69C" w14:textId="56FCEFE6" w:rsidR="00D21622" w:rsidRPr="00D21622" w:rsidRDefault="00D21622" w:rsidP="00D21622">
      <w:pPr>
        <w:pStyle w:val="Reference"/>
        <w:numPr>
          <w:ilvl w:val="0"/>
          <w:numId w:val="10"/>
        </w:numPr>
        <w:rPr>
          <w:rFonts w:ascii="Arial" w:hAnsi="Arial" w:cs="Arial"/>
          <w:bCs/>
          <w:sz w:val="20"/>
          <w:u w:val="single"/>
        </w:rPr>
      </w:pPr>
      <w:r w:rsidRPr="00D21622">
        <w:rPr>
          <w:rFonts w:ascii="Arial" w:hAnsi="Arial" w:cs="Arial"/>
          <w:bCs/>
          <w:sz w:val="20"/>
          <w:u w:val="single"/>
        </w:rPr>
        <w:fldChar w:fldCharType="begin"/>
      </w:r>
      <w:r w:rsidRPr="00D21622">
        <w:rPr>
          <w:rFonts w:ascii="Arial" w:hAnsi="Arial" w:cs="Arial"/>
          <w:bCs/>
          <w:sz w:val="20"/>
          <w:u w:val="single"/>
        </w:rPr>
        <w:instrText xml:space="preserve"> HYPERLINK "http://www.3gpp.org/ftp/TSG_RAN/WG1_RL1/TSGR1_97/Docs/R1-1906684.zip" </w:instrText>
      </w:r>
      <w:r w:rsidRPr="00D21622">
        <w:rPr>
          <w:rFonts w:ascii="Arial" w:hAnsi="Arial" w:cs="Arial"/>
          <w:bCs/>
          <w:sz w:val="20"/>
          <w:u w:val="single"/>
        </w:rPr>
        <w:fldChar w:fldCharType="separate"/>
      </w:r>
      <w:r w:rsidRPr="00D21622">
        <w:rPr>
          <w:rStyle w:val="Hyperlink"/>
          <w:rFonts w:ascii="Arial" w:hAnsi="Arial" w:cs="Arial"/>
          <w:bCs/>
          <w:sz w:val="20"/>
        </w:rPr>
        <w:t>R1-1906684</w:t>
      </w:r>
      <w:r w:rsidRPr="00D21622">
        <w:rPr>
          <w:rFonts w:ascii="Arial" w:hAnsi="Arial" w:cs="Arial"/>
          <w:sz w:val="20"/>
        </w:rPr>
        <w:fldChar w:fldCharType="end"/>
      </w:r>
      <w:r w:rsidRPr="00D21622">
        <w:rPr>
          <w:rFonts w:ascii="Arial" w:hAnsi="Arial" w:cs="Arial"/>
          <w:sz w:val="20"/>
        </w:rPr>
        <w:t>, “Discussion on coexistence of LTE-MTC with NR”, LG Electronics</w:t>
      </w:r>
      <w:bookmarkStart w:id="15" w:name="REF1"/>
      <w:bookmarkEnd w:id="14"/>
      <w:bookmarkEnd w:id="15"/>
    </w:p>
    <w:bookmarkStart w:id="16" w:name="_Ref8595986"/>
    <w:p w14:paraId="15DF603A" w14:textId="6A38CA7F" w:rsidR="00783CCB" w:rsidRPr="00D21622" w:rsidRDefault="00D21622" w:rsidP="00D21622">
      <w:pPr>
        <w:pStyle w:val="Reference"/>
        <w:numPr>
          <w:ilvl w:val="0"/>
          <w:numId w:val="10"/>
        </w:numPr>
        <w:rPr>
          <w:rFonts w:ascii="Arial" w:hAnsi="Arial" w:cs="Arial"/>
          <w:bCs/>
          <w:sz w:val="20"/>
          <w:u w:val="single"/>
        </w:rPr>
      </w:pPr>
      <w:r w:rsidRPr="00D21622">
        <w:rPr>
          <w:rFonts w:ascii="Arial" w:hAnsi="Arial" w:cs="Arial"/>
          <w:bCs/>
          <w:sz w:val="20"/>
          <w:u w:val="single"/>
        </w:rPr>
        <w:fldChar w:fldCharType="begin"/>
      </w:r>
      <w:r w:rsidRPr="00D21622">
        <w:rPr>
          <w:rFonts w:ascii="Arial" w:hAnsi="Arial" w:cs="Arial"/>
          <w:bCs/>
          <w:sz w:val="20"/>
          <w:u w:val="single"/>
        </w:rPr>
        <w:instrText xml:space="preserve"> HYPERLINK "http://www.3gpp.org/ftp/TSG_RAN/WG1_RL1/TSGR1_97/Docs/R1-1906704.zip" </w:instrText>
      </w:r>
      <w:r w:rsidRPr="00D21622">
        <w:rPr>
          <w:rFonts w:ascii="Arial" w:hAnsi="Arial" w:cs="Arial"/>
          <w:bCs/>
          <w:sz w:val="20"/>
          <w:u w:val="single"/>
        </w:rPr>
        <w:fldChar w:fldCharType="separate"/>
      </w:r>
      <w:r w:rsidRPr="00D21622">
        <w:rPr>
          <w:rStyle w:val="Hyperlink"/>
          <w:rFonts w:ascii="Arial" w:hAnsi="Arial" w:cs="Arial"/>
          <w:bCs/>
          <w:sz w:val="20"/>
        </w:rPr>
        <w:t>R1-1906704</w:t>
      </w:r>
      <w:r w:rsidRPr="00D21622">
        <w:rPr>
          <w:rFonts w:ascii="Arial" w:hAnsi="Arial" w:cs="Arial"/>
          <w:sz w:val="20"/>
        </w:rPr>
        <w:fldChar w:fldCharType="end"/>
      </w:r>
      <w:r w:rsidR="00783CCB" w:rsidRPr="00D21622">
        <w:rPr>
          <w:rFonts w:ascii="Arial" w:hAnsi="Arial" w:cs="Arial"/>
          <w:sz w:val="20"/>
        </w:rPr>
        <w:t>, “Coexistence of eMTC with NR”, Nokia, Nokia Shanghai Bell</w:t>
      </w:r>
      <w:bookmarkEnd w:id="11"/>
      <w:bookmarkEnd w:id="16"/>
    </w:p>
    <w:bookmarkStart w:id="17" w:name="_Ref529801415"/>
    <w:bookmarkStart w:id="18" w:name="_Ref1595295"/>
    <w:bookmarkEnd w:id="12"/>
    <w:p w14:paraId="57B3617E" w14:textId="22B9A518" w:rsidR="00783CCB" w:rsidRPr="00C12949" w:rsidRDefault="00D21622" w:rsidP="00D21622">
      <w:pPr>
        <w:pStyle w:val="Reference"/>
        <w:numPr>
          <w:ilvl w:val="0"/>
          <w:numId w:val="10"/>
        </w:numPr>
        <w:rPr>
          <w:rFonts w:ascii="Arial" w:hAnsi="Arial" w:cs="Arial"/>
          <w:bCs/>
          <w:sz w:val="20"/>
          <w:u w:val="single"/>
        </w:rPr>
      </w:pPr>
      <w:r w:rsidRPr="00D21622">
        <w:rPr>
          <w:rFonts w:ascii="Arial" w:hAnsi="Arial" w:cs="Arial"/>
          <w:bCs/>
          <w:sz w:val="20"/>
          <w:u w:val="single"/>
        </w:rPr>
        <w:fldChar w:fldCharType="begin"/>
      </w:r>
      <w:r w:rsidRPr="00D21622">
        <w:rPr>
          <w:rFonts w:ascii="Arial" w:hAnsi="Arial" w:cs="Arial"/>
          <w:bCs/>
          <w:sz w:val="20"/>
          <w:u w:val="single"/>
        </w:rPr>
        <w:instrText xml:space="preserve"> HYPERLINK "http://www.3gpp.org/ftp/TSG_RAN/WG1_RL1/TSGR1_97/Docs/R1-1906994.zip" </w:instrText>
      </w:r>
      <w:r w:rsidRPr="00D21622">
        <w:rPr>
          <w:rFonts w:ascii="Arial" w:hAnsi="Arial" w:cs="Arial"/>
          <w:bCs/>
          <w:sz w:val="20"/>
          <w:u w:val="single"/>
        </w:rPr>
        <w:fldChar w:fldCharType="separate"/>
      </w:r>
      <w:r w:rsidRPr="00D21622">
        <w:rPr>
          <w:rStyle w:val="Hyperlink"/>
          <w:rFonts w:ascii="Arial" w:hAnsi="Arial" w:cs="Arial"/>
          <w:bCs/>
          <w:sz w:val="20"/>
        </w:rPr>
        <w:t>R1-1906994</w:t>
      </w:r>
      <w:r w:rsidRPr="00D21622">
        <w:rPr>
          <w:rFonts w:ascii="Arial" w:hAnsi="Arial" w:cs="Arial"/>
          <w:sz w:val="20"/>
        </w:rPr>
        <w:fldChar w:fldCharType="end"/>
      </w:r>
      <w:r w:rsidR="00783CCB" w:rsidRPr="00D21622">
        <w:rPr>
          <w:rFonts w:ascii="Arial" w:hAnsi="Arial" w:cs="Arial"/>
          <w:sz w:val="20"/>
        </w:rPr>
        <w:t>, “Coexistence of LTE-MTC with NR”, Qualcomm Incorporated</w:t>
      </w:r>
      <w:bookmarkEnd w:id="17"/>
    </w:p>
    <w:bookmarkStart w:id="19" w:name="_Ref8607434"/>
    <w:p w14:paraId="3B11AFDC" w14:textId="79E22BD3" w:rsidR="00C12949" w:rsidRPr="00C12949" w:rsidRDefault="00C12949" w:rsidP="00C12949">
      <w:pPr>
        <w:pStyle w:val="Reference"/>
        <w:numPr>
          <w:ilvl w:val="0"/>
          <w:numId w:val="10"/>
        </w:numPr>
        <w:rPr>
          <w:lang w:eastAsia="x-none"/>
        </w:rPr>
      </w:pPr>
      <w:r w:rsidRPr="00C12949">
        <w:fldChar w:fldCharType="begin"/>
      </w:r>
      <w:r w:rsidRPr="00C12949">
        <w:instrText xml:space="preserve"> HYPERLINK "http://www.3gpp.org/ftp/tsg_ran/WG1_RL1/TSGR1_94/Docs/R1-1809564.zip" </w:instrText>
      </w:r>
      <w:r w:rsidRPr="00C12949">
        <w:fldChar w:fldCharType="separate"/>
      </w:r>
      <w:r w:rsidRPr="00C12949">
        <w:rPr>
          <w:rStyle w:val="Hyperlink"/>
        </w:rPr>
        <w:t>R1-1809564</w:t>
      </w:r>
      <w:r w:rsidRPr="00C12949">
        <w:rPr>
          <w:rStyle w:val="Hyperlink"/>
        </w:rPr>
        <w:fldChar w:fldCharType="end"/>
      </w:r>
      <w:r>
        <w:rPr>
          <w:lang w:eastAsia="x-none"/>
        </w:rPr>
        <w:t>, “</w:t>
      </w:r>
      <w:r w:rsidRPr="00C12949">
        <w:rPr>
          <w:lang w:eastAsia="x-none"/>
        </w:rPr>
        <w:t>Feature lead summary for Coexistence of LTE-MTC with NR</w:t>
      </w:r>
      <w:r>
        <w:rPr>
          <w:lang w:eastAsia="x-none"/>
        </w:rPr>
        <w:t xml:space="preserve">”, </w:t>
      </w:r>
      <w:r w:rsidRPr="00C12949">
        <w:rPr>
          <w:lang w:eastAsia="x-none"/>
        </w:rPr>
        <w:t>Ericsson</w:t>
      </w:r>
      <w:bookmarkEnd w:id="19"/>
    </w:p>
    <w:p w14:paraId="57396972" w14:textId="74B82786" w:rsidR="00C12949" w:rsidRPr="00C12949" w:rsidRDefault="003C3F3D" w:rsidP="00C12949">
      <w:pPr>
        <w:pStyle w:val="Reference"/>
        <w:numPr>
          <w:ilvl w:val="0"/>
          <w:numId w:val="10"/>
        </w:numPr>
        <w:rPr>
          <w:lang w:eastAsia="x-none"/>
        </w:rPr>
      </w:pPr>
      <w:hyperlink r:id="rId14" w:history="1">
        <w:r w:rsidR="00C12949" w:rsidRPr="00C12949">
          <w:rPr>
            <w:rStyle w:val="Hyperlink"/>
          </w:rPr>
          <w:t>R1-1811665</w:t>
        </w:r>
      </w:hyperlink>
      <w:r w:rsidR="00C12949">
        <w:rPr>
          <w:lang w:eastAsia="x-none"/>
        </w:rPr>
        <w:t>, “</w:t>
      </w:r>
      <w:r w:rsidR="00C12949" w:rsidRPr="00C12949">
        <w:rPr>
          <w:lang w:eastAsia="x-none"/>
        </w:rPr>
        <w:t>Feature lead summary for Coexistence of LTE-MTC with NR</w:t>
      </w:r>
      <w:r w:rsidR="00C12949">
        <w:rPr>
          <w:lang w:eastAsia="x-none"/>
        </w:rPr>
        <w:t xml:space="preserve">”, </w:t>
      </w:r>
      <w:r w:rsidR="00C12949" w:rsidRPr="00C12949">
        <w:rPr>
          <w:lang w:eastAsia="x-none"/>
        </w:rPr>
        <w:t>Ericsson</w:t>
      </w:r>
    </w:p>
    <w:p w14:paraId="28AE4362" w14:textId="57D132D8" w:rsidR="00C12949" w:rsidRPr="00C12949" w:rsidRDefault="003C3F3D" w:rsidP="00C12949">
      <w:pPr>
        <w:pStyle w:val="Reference"/>
        <w:numPr>
          <w:ilvl w:val="0"/>
          <w:numId w:val="10"/>
        </w:numPr>
        <w:rPr>
          <w:lang w:eastAsia="x-none"/>
        </w:rPr>
      </w:pPr>
      <w:hyperlink r:id="rId15" w:history="1">
        <w:r w:rsidR="00C12949" w:rsidRPr="00C12949">
          <w:rPr>
            <w:rStyle w:val="Hyperlink"/>
          </w:rPr>
          <w:t>R1-1813723</w:t>
        </w:r>
      </w:hyperlink>
      <w:r w:rsidR="00C12949">
        <w:rPr>
          <w:lang w:eastAsia="x-none"/>
        </w:rPr>
        <w:t>, “</w:t>
      </w:r>
      <w:r w:rsidR="00C12949" w:rsidRPr="00C12949">
        <w:rPr>
          <w:lang w:eastAsia="x-none"/>
        </w:rPr>
        <w:t>Feature lead summary for Coexistence of LTE-MTC with NR</w:t>
      </w:r>
      <w:r w:rsidR="00C12949">
        <w:rPr>
          <w:lang w:eastAsia="x-none"/>
        </w:rPr>
        <w:t xml:space="preserve">”, </w:t>
      </w:r>
      <w:r w:rsidR="00C12949" w:rsidRPr="00C12949">
        <w:rPr>
          <w:lang w:eastAsia="x-none"/>
        </w:rPr>
        <w:t>Ericsson</w:t>
      </w:r>
    </w:p>
    <w:p w14:paraId="11A48E4E" w14:textId="0F98695B" w:rsidR="00C12949" w:rsidRPr="00C12949" w:rsidRDefault="003C3F3D" w:rsidP="00C12949">
      <w:pPr>
        <w:pStyle w:val="Reference"/>
        <w:numPr>
          <w:ilvl w:val="0"/>
          <w:numId w:val="10"/>
        </w:numPr>
        <w:rPr>
          <w:lang w:eastAsia="x-none"/>
        </w:rPr>
      </w:pPr>
      <w:hyperlink r:id="rId16" w:history="1">
        <w:r w:rsidR="00C12949" w:rsidRPr="00C12949">
          <w:rPr>
            <w:rStyle w:val="Hyperlink"/>
          </w:rPr>
          <w:t>R1-1903246</w:t>
        </w:r>
      </w:hyperlink>
      <w:r w:rsidR="00C12949">
        <w:rPr>
          <w:lang w:eastAsia="x-none"/>
        </w:rPr>
        <w:t>, “</w:t>
      </w:r>
      <w:r w:rsidR="00C12949" w:rsidRPr="00C12949">
        <w:rPr>
          <w:lang w:eastAsia="x-none"/>
        </w:rPr>
        <w:t>Feature lead summary for Coexistence of LTE-MTC with NR</w:t>
      </w:r>
      <w:r w:rsidR="00C12949">
        <w:rPr>
          <w:lang w:eastAsia="x-none"/>
        </w:rPr>
        <w:t xml:space="preserve">”, </w:t>
      </w:r>
      <w:r w:rsidR="00C12949" w:rsidRPr="00C12949">
        <w:rPr>
          <w:lang w:eastAsia="x-none"/>
        </w:rPr>
        <w:t>Ericsson</w:t>
      </w:r>
    </w:p>
    <w:bookmarkStart w:id="20" w:name="_Ref8607437"/>
    <w:p w14:paraId="4C2DD999" w14:textId="650E7636" w:rsidR="00C12949" w:rsidRPr="00C12949" w:rsidRDefault="00C12949" w:rsidP="00C12949">
      <w:pPr>
        <w:pStyle w:val="Reference"/>
        <w:numPr>
          <w:ilvl w:val="0"/>
          <w:numId w:val="10"/>
        </w:numPr>
        <w:rPr>
          <w:lang w:eastAsia="x-none"/>
        </w:rPr>
      </w:pPr>
      <w:r w:rsidRPr="00C12949">
        <w:fldChar w:fldCharType="begin"/>
      </w:r>
      <w:r w:rsidRPr="00C12949">
        <w:instrText xml:space="preserve"> HYPERLINK "https://www.3gpp.org/ftp/tsg_ran/WG1_RL1/TSGR1_96b/Docs/R1-1905535.zip" </w:instrText>
      </w:r>
      <w:r w:rsidRPr="00C12949">
        <w:fldChar w:fldCharType="separate"/>
      </w:r>
      <w:r w:rsidRPr="00C12949">
        <w:rPr>
          <w:rStyle w:val="Hyperlink"/>
        </w:rPr>
        <w:t>R1-1905535</w:t>
      </w:r>
      <w:r w:rsidRPr="00C12949">
        <w:rPr>
          <w:rStyle w:val="Hyperlink"/>
        </w:rPr>
        <w:fldChar w:fldCharType="end"/>
      </w:r>
      <w:r>
        <w:rPr>
          <w:lang w:eastAsia="x-none"/>
        </w:rPr>
        <w:t>, “</w:t>
      </w:r>
      <w:r w:rsidRPr="00C12949">
        <w:rPr>
          <w:lang w:eastAsia="x-none"/>
        </w:rPr>
        <w:t>Feature lead summary for Coexistence of LTE-MTC with NR</w:t>
      </w:r>
      <w:r>
        <w:rPr>
          <w:lang w:eastAsia="x-none"/>
        </w:rPr>
        <w:t xml:space="preserve">”, </w:t>
      </w:r>
      <w:r w:rsidRPr="00C12949">
        <w:rPr>
          <w:lang w:eastAsia="x-none"/>
        </w:rPr>
        <w:t>Ericsson</w:t>
      </w:r>
      <w:bookmarkEnd w:id="20"/>
    </w:p>
    <w:bookmarkEnd w:id="13"/>
    <w:bookmarkEnd w:id="18"/>
    <w:p w14:paraId="506A3DDB" w14:textId="77777777" w:rsidR="00DE73A4" w:rsidRPr="00D21622" w:rsidRDefault="00DE73A4" w:rsidP="00DE73A4">
      <w:pPr>
        <w:pStyle w:val="Reference"/>
        <w:numPr>
          <w:ilvl w:val="0"/>
          <w:numId w:val="0"/>
        </w:numPr>
        <w:ind w:left="567" w:hanging="567"/>
        <w:rPr>
          <w:rFonts w:ascii="Arial" w:hAnsi="Arial" w:cs="Arial"/>
          <w:sz w:val="20"/>
          <w:u w:val="single"/>
        </w:rPr>
      </w:pPr>
    </w:p>
    <w:p w14:paraId="0B841D35" w14:textId="65A4889C" w:rsidR="00AD0CF0" w:rsidRDefault="00AD0CF0" w:rsidP="00AD0CF0">
      <w:pPr>
        <w:pStyle w:val="Heading1"/>
        <w:numPr>
          <w:ilvl w:val="0"/>
          <w:numId w:val="0"/>
        </w:numPr>
        <w:ind w:left="432" w:hanging="432"/>
        <w:jc w:val="both"/>
        <w:textAlignment w:val="auto"/>
        <w:rPr>
          <w:lang w:val="en-US"/>
        </w:rPr>
      </w:pPr>
      <w:r>
        <w:rPr>
          <w:lang w:val="en-US"/>
        </w:rPr>
        <w:t>Annex: RAN1 agreements</w:t>
      </w:r>
    </w:p>
    <w:p w14:paraId="634FA777" w14:textId="77777777" w:rsidR="00AD0CF0" w:rsidRPr="007C2B1D" w:rsidRDefault="00AD0CF0" w:rsidP="00AD0CF0">
      <w:pPr>
        <w:pStyle w:val="BodyText"/>
        <w:rPr>
          <w:rFonts w:ascii="Arial" w:hAnsi="Arial" w:cs="Arial"/>
          <w:sz w:val="20"/>
        </w:rPr>
      </w:pPr>
      <w:r w:rsidRPr="007C2B1D">
        <w:rPr>
          <w:rFonts w:ascii="Arial" w:hAnsi="Arial" w:cs="Arial"/>
          <w:sz w:val="20"/>
        </w:rPr>
        <w:t>RAN1#94 made the following observation and agreement:</w:t>
      </w:r>
    </w:p>
    <w:tbl>
      <w:tblPr>
        <w:tblStyle w:val="TableGrid"/>
        <w:tblW w:w="0" w:type="auto"/>
        <w:tblLook w:val="04A0" w:firstRow="1" w:lastRow="0" w:firstColumn="1" w:lastColumn="0" w:noHBand="0" w:noVBand="1"/>
      </w:tblPr>
      <w:tblGrid>
        <w:gridCol w:w="9629"/>
      </w:tblGrid>
      <w:tr w:rsidR="00AD0CF0" w14:paraId="721404B2" w14:textId="77777777" w:rsidTr="00F04697">
        <w:tc>
          <w:tcPr>
            <w:tcW w:w="9629" w:type="dxa"/>
          </w:tcPr>
          <w:p w14:paraId="01D86AC8" w14:textId="77777777" w:rsidR="00AD0CF0" w:rsidRPr="0088189C" w:rsidRDefault="00AD0CF0" w:rsidP="00F04697">
            <w:pPr>
              <w:spacing w:after="0" w:line="240" w:lineRule="auto"/>
              <w:ind w:left="720" w:hanging="720"/>
              <w:rPr>
                <w:rFonts w:ascii="Times" w:eastAsia="Batang" w:hAnsi="Times" w:cs="Times New Roman"/>
                <w:b/>
                <w:sz w:val="20"/>
                <w:szCs w:val="20"/>
                <w:lang w:val="en-GB" w:eastAsia="zh-CN"/>
              </w:rPr>
            </w:pPr>
            <w:r w:rsidRPr="0088189C">
              <w:rPr>
                <w:rFonts w:ascii="Times" w:eastAsia="Batang" w:hAnsi="Times" w:cs="Times New Roman"/>
                <w:b/>
                <w:sz w:val="20"/>
                <w:szCs w:val="20"/>
                <w:lang w:val="en-GB" w:eastAsia="zh-CN"/>
              </w:rPr>
              <w:t>Observation</w:t>
            </w:r>
          </w:p>
          <w:p w14:paraId="6685395F" w14:textId="77777777" w:rsidR="00AD0CF0" w:rsidRPr="0088189C" w:rsidRDefault="00AD0CF0" w:rsidP="00F04697">
            <w:pPr>
              <w:spacing w:after="0" w:line="240" w:lineRule="auto"/>
              <w:rPr>
                <w:rFonts w:ascii="Times" w:eastAsia="Batang" w:hAnsi="Times" w:cs="Times New Roman"/>
                <w:sz w:val="20"/>
                <w:szCs w:val="20"/>
                <w:lang w:val="en-GB" w:eastAsia="zh-CN"/>
              </w:rPr>
            </w:pPr>
            <w:r w:rsidRPr="0088189C">
              <w:rPr>
                <w:rFonts w:ascii="Times" w:eastAsia="Batang" w:hAnsi="Times" w:cs="Times New Roman"/>
                <w:sz w:val="20"/>
                <w:szCs w:val="20"/>
                <w:lang w:val="en-GB" w:eastAsia="zh-CN"/>
              </w:rPr>
              <w:t>From RAN1 perspective, no issues were identified that would prevent the coexistence of NR and eMTC</w:t>
            </w:r>
          </w:p>
          <w:p w14:paraId="1FF6CCA1" w14:textId="77777777" w:rsidR="00AD0CF0" w:rsidRPr="0088189C" w:rsidRDefault="00AD0CF0" w:rsidP="00F04697">
            <w:pPr>
              <w:spacing w:after="0" w:line="240" w:lineRule="auto"/>
              <w:ind w:left="720" w:hanging="720"/>
              <w:rPr>
                <w:rFonts w:ascii="Times" w:eastAsia="Batang" w:hAnsi="Times" w:cs="Times New Roman"/>
                <w:sz w:val="20"/>
                <w:szCs w:val="20"/>
                <w:lang w:val="en-GB" w:eastAsia="zh-CN"/>
              </w:rPr>
            </w:pPr>
          </w:p>
          <w:p w14:paraId="5A15022C" w14:textId="77777777" w:rsidR="00AD0CF0" w:rsidRPr="0088189C" w:rsidRDefault="00AD0CF0" w:rsidP="00F04697">
            <w:pPr>
              <w:spacing w:after="0" w:line="240" w:lineRule="auto"/>
              <w:ind w:left="720" w:hanging="720"/>
              <w:rPr>
                <w:rFonts w:ascii="Times" w:eastAsia="Batang" w:hAnsi="Times" w:cs="Times New Roman"/>
                <w:b/>
                <w:sz w:val="20"/>
                <w:szCs w:val="20"/>
                <w:lang w:val="en-GB" w:eastAsia="zh-CN"/>
              </w:rPr>
            </w:pPr>
            <w:r w:rsidRPr="0088189C">
              <w:rPr>
                <w:rFonts w:ascii="Times" w:eastAsia="Batang" w:hAnsi="Times" w:cs="Times New Roman"/>
                <w:b/>
                <w:sz w:val="20"/>
                <w:szCs w:val="20"/>
                <w:highlight w:val="green"/>
                <w:lang w:val="en-GB" w:eastAsia="zh-CN"/>
              </w:rPr>
              <w:t>Agreement</w:t>
            </w:r>
          </w:p>
          <w:p w14:paraId="730128F9" w14:textId="77777777" w:rsidR="00AD0CF0" w:rsidRDefault="00AD0CF0" w:rsidP="00F04697">
            <w:pPr>
              <w:spacing w:after="0" w:line="240" w:lineRule="auto"/>
              <w:rPr>
                <w:rFonts w:ascii="Times" w:eastAsia="Batang" w:hAnsi="Times" w:cs="Times New Roman"/>
                <w:sz w:val="20"/>
                <w:szCs w:val="20"/>
                <w:lang w:val="en-GB" w:eastAsia="zh-CN"/>
              </w:rPr>
            </w:pPr>
            <w:r w:rsidRPr="0088189C">
              <w:rPr>
                <w:rFonts w:ascii="Times" w:eastAsia="Batang" w:hAnsi="Times" w:cs="Times New Roman"/>
                <w:sz w:val="20"/>
                <w:szCs w:val="20"/>
                <w:lang w:val="en-GB" w:eastAsia="zh-CN"/>
              </w:rPr>
              <w:t>RAN1 studies additional specification enhancement for improving the performance of coexistence of eMTC with NR.</w:t>
            </w:r>
          </w:p>
          <w:p w14:paraId="0E8DD43E" w14:textId="77777777" w:rsidR="00AD0CF0" w:rsidRPr="000D5E14" w:rsidRDefault="00AD0CF0" w:rsidP="00F04697">
            <w:pPr>
              <w:spacing w:after="0" w:line="240" w:lineRule="auto"/>
              <w:rPr>
                <w:rFonts w:ascii="Times" w:eastAsia="Batang" w:hAnsi="Times" w:cs="Times New Roman"/>
                <w:sz w:val="20"/>
                <w:szCs w:val="20"/>
                <w:lang w:val="en-GB" w:eastAsia="zh-CN"/>
              </w:rPr>
            </w:pPr>
          </w:p>
        </w:tc>
      </w:tr>
    </w:tbl>
    <w:p w14:paraId="05050705" w14:textId="77777777" w:rsidR="00AD0CF0" w:rsidRDefault="00AD0CF0" w:rsidP="00AD0CF0">
      <w:pPr>
        <w:pStyle w:val="BodyText"/>
        <w:rPr>
          <w:rFonts w:ascii="Arial" w:hAnsi="Arial" w:cs="Arial"/>
          <w:sz w:val="20"/>
          <w:szCs w:val="20"/>
        </w:rPr>
      </w:pPr>
    </w:p>
    <w:p w14:paraId="2CEB0317" w14:textId="77777777" w:rsidR="00AD0CF0" w:rsidRPr="007C2B1D" w:rsidRDefault="00AD0CF0" w:rsidP="00AD0CF0">
      <w:pPr>
        <w:pStyle w:val="BodyText"/>
        <w:rPr>
          <w:rFonts w:ascii="Arial" w:hAnsi="Arial" w:cs="Arial"/>
          <w:sz w:val="20"/>
        </w:rPr>
      </w:pPr>
      <w:r>
        <w:rPr>
          <w:rFonts w:ascii="Arial" w:hAnsi="Arial" w:cs="Arial"/>
          <w:sz w:val="20"/>
        </w:rPr>
        <w:t xml:space="preserve">RAN1#94bis </w:t>
      </w:r>
      <w:r w:rsidRPr="007C2B1D">
        <w:rPr>
          <w:rFonts w:ascii="Arial" w:hAnsi="Arial" w:cs="Arial"/>
          <w:sz w:val="20"/>
        </w:rPr>
        <w:t xml:space="preserve">made the following </w:t>
      </w:r>
      <w:r>
        <w:rPr>
          <w:rFonts w:ascii="Arial" w:hAnsi="Arial" w:cs="Arial"/>
          <w:sz w:val="20"/>
        </w:rPr>
        <w:t>note</w:t>
      </w:r>
      <w:r w:rsidRPr="007C2B1D">
        <w:rPr>
          <w:rFonts w:ascii="Arial" w:hAnsi="Arial" w:cs="Arial"/>
          <w:sz w:val="20"/>
        </w:rPr>
        <w:t xml:space="preserve"> and agreement:</w:t>
      </w:r>
    </w:p>
    <w:tbl>
      <w:tblPr>
        <w:tblStyle w:val="TableGrid"/>
        <w:tblW w:w="0" w:type="auto"/>
        <w:tblLook w:val="04A0" w:firstRow="1" w:lastRow="0" w:firstColumn="1" w:lastColumn="0" w:noHBand="0" w:noVBand="1"/>
      </w:tblPr>
      <w:tblGrid>
        <w:gridCol w:w="9629"/>
      </w:tblGrid>
      <w:tr w:rsidR="00AD0CF0" w14:paraId="4424F820" w14:textId="77777777" w:rsidTr="00F04697">
        <w:tc>
          <w:tcPr>
            <w:tcW w:w="9629" w:type="dxa"/>
          </w:tcPr>
          <w:p w14:paraId="4EE24CA4" w14:textId="77777777" w:rsidR="00AD0CF0" w:rsidRPr="000D5E14" w:rsidRDefault="00AD0CF0" w:rsidP="00F04697">
            <w:pPr>
              <w:spacing w:after="0" w:line="240" w:lineRule="auto"/>
              <w:ind w:left="720" w:hanging="720"/>
              <w:rPr>
                <w:rFonts w:ascii="Times" w:eastAsia="Batang" w:hAnsi="Times" w:cs="Times New Roman"/>
                <w:b/>
                <w:sz w:val="20"/>
                <w:szCs w:val="24"/>
                <w:lang w:val="en-GB" w:eastAsia="x-none"/>
              </w:rPr>
            </w:pPr>
            <w:r w:rsidRPr="000D5E14">
              <w:rPr>
                <w:rFonts w:ascii="Times" w:eastAsia="Batang" w:hAnsi="Times" w:cs="Times New Roman"/>
                <w:b/>
                <w:sz w:val="20"/>
                <w:szCs w:val="24"/>
                <w:lang w:val="en-GB" w:eastAsia="x-none"/>
              </w:rPr>
              <w:t>For further study:</w:t>
            </w:r>
          </w:p>
          <w:p w14:paraId="5AA30DC3" w14:textId="77777777" w:rsidR="00AD0CF0" w:rsidRDefault="00AD0CF0" w:rsidP="00F04697">
            <w:pPr>
              <w:spacing w:after="0" w:line="240" w:lineRule="auto"/>
              <w:rPr>
                <w:rFonts w:ascii="Times" w:eastAsia="Batang" w:hAnsi="Times" w:cs="Arial"/>
                <w:sz w:val="20"/>
                <w:szCs w:val="24"/>
              </w:rPr>
            </w:pPr>
            <w:r w:rsidRPr="000D5E14">
              <w:rPr>
                <w:rFonts w:ascii="Times" w:eastAsia="Batang" w:hAnsi="Times" w:cs="Arial"/>
                <w:sz w:val="20"/>
                <w:szCs w:val="24"/>
              </w:rPr>
              <w:t xml:space="preserve">Until the next meeting, invite companies to evaluate the potential performance gains (e.g. in terms of reduced NR resource reservation) from </w:t>
            </w:r>
            <w:r>
              <w:rPr>
                <w:rFonts w:ascii="Times" w:eastAsia="Batang" w:hAnsi="Times" w:cs="Arial"/>
                <w:sz w:val="20"/>
                <w:szCs w:val="24"/>
              </w:rPr>
              <w:t xml:space="preserve">[the following] </w:t>
            </w:r>
            <w:r w:rsidRPr="000D5E14">
              <w:rPr>
                <w:rFonts w:ascii="Times" w:eastAsia="Batang" w:hAnsi="Times" w:cs="Arial"/>
                <w:sz w:val="20"/>
                <w:szCs w:val="24"/>
              </w:rPr>
              <w:t>to help determine whether the gains are significant enough to motivate the impacts.</w:t>
            </w:r>
          </w:p>
          <w:p w14:paraId="3C53D80B" w14:textId="77777777" w:rsidR="00AD0CF0" w:rsidRDefault="00AD0CF0" w:rsidP="00F04697">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subcarrier and resource block alignment</w:t>
            </w:r>
          </w:p>
          <w:p w14:paraId="7793EE8A" w14:textId="77777777" w:rsidR="00AD0CF0" w:rsidRDefault="00AD0CF0" w:rsidP="00F04697">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resource configuration (e.g. reservation of LTE-MTC resources)</w:t>
            </w:r>
          </w:p>
          <w:p w14:paraId="01332E74" w14:textId="77777777" w:rsidR="00AD0CF0" w:rsidRDefault="00AD0CF0" w:rsidP="00F04697">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through CRS reduction</w:t>
            </w:r>
          </w:p>
          <w:p w14:paraId="2389D79B" w14:textId="77777777" w:rsidR="00AD0CF0" w:rsidRPr="000D5E14" w:rsidRDefault="00AD0CF0" w:rsidP="00F04697">
            <w:pPr>
              <w:numPr>
                <w:ilvl w:val="1"/>
                <w:numId w:val="29"/>
              </w:numPr>
              <w:spacing w:after="0" w:line="240" w:lineRule="auto"/>
              <w:rPr>
                <w:rFonts w:ascii="Times" w:eastAsia="Batang" w:hAnsi="Times" w:cs="Arial"/>
                <w:sz w:val="20"/>
                <w:szCs w:val="24"/>
              </w:rPr>
            </w:pPr>
            <w:r w:rsidRPr="000D5E14">
              <w:rPr>
                <w:rFonts w:ascii="Times" w:eastAsia="Batang" w:hAnsi="Times" w:cs="Arial"/>
                <w:sz w:val="20"/>
                <w:szCs w:val="24"/>
              </w:rPr>
              <w:t>Also consider backwards compatibility aspects.</w:t>
            </w:r>
          </w:p>
          <w:p w14:paraId="7A212960" w14:textId="77777777" w:rsidR="00AD0CF0" w:rsidRDefault="00AD0CF0" w:rsidP="00F04697">
            <w:pPr>
              <w:numPr>
                <w:ilvl w:val="0"/>
                <w:numId w:val="29"/>
              </w:numPr>
              <w:spacing w:after="0" w:line="240" w:lineRule="auto"/>
              <w:rPr>
                <w:rFonts w:ascii="Times" w:eastAsia="Batang" w:hAnsi="Times" w:cs="Arial"/>
                <w:sz w:val="20"/>
                <w:szCs w:val="24"/>
              </w:rPr>
            </w:pPr>
            <w:r>
              <w:rPr>
                <w:rFonts w:ascii="Times" w:eastAsia="Batang" w:hAnsi="Times" w:cs="Arial"/>
                <w:sz w:val="20"/>
                <w:szCs w:val="24"/>
              </w:rPr>
              <w:t>P</w:t>
            </w:r>
            <w:r w:rsidRPr="000D5E14">
              <w:rPr>
                <w:rFonts w:ascii="Times" w:eastAsia="Batang" w:hAnsi="Times" w:cs="Arial"/>
                <w:sz w:val="20"/>
                <w:szCs w:val="24"/>
              </w:rPr>
              <w:t>erformance improvements of frequency hopping</w:t>
            </w:r>
          </w:p>
          <w:p w14:paraId="653D4BEF" w14:textId="77777777" w:rsidR="00AD0CF0" w:rsidRPr="000D5E14" w:rsidRDefault="00AD0CF0" w:rsidP="00F04697">
            <w:pPr>
              <w:numPr>
                <w:ilvl w:val="1"/>
                <w:numId w:val="29"/>
              </w:numPr>
              <w:spacing w:after="0" w:line="240" w:lineRule="auto"/>
              <w:rPr>
                <w:rFonts w:ascii="Times" w:eastAsia="Batang" w:hAnsi="Times" w:cs="Arial"/>
                <w:sz w:val="20"/>
                <w:szCs w:val="24"/>
              </w:rPr>
            </w:pPr>
            <w:r w:rsidRPr="000D5E14">
              <w:rPr>
                <w:rFonts w:ascii="Times" w:eastAsia="Batang" w:hAnsi="Times" w:cs="Arial"/>
                <w:sz w:val="20"/>
                <w:szCs w:val="24"/>
              </w:rPr>
              <w:t>Also consider backwards compatibility aspects.</w:t>
            </w:r>
          </w:p>
          <w:p w14:paraId="7B970263" w14:textId="77777777" w:rsidR="00AD0CF0" w:rsidRPr="000D5E14" w:rsidRDefault="00AD0CF0" w:rsidP="00F04697">
            <w:pPr>
              <w:spacing w:after="0" w:line="240" w:lineRule="auto"/>
              <w:ind w:left="720" w:hanging="720"/>
              <w:rPr>
                <w:rFonts w:ascii="Times" w:eastAsia="Batang" w:hAnsi="Times" w:cs="Times New Roman"/>
                <w:sz w:val="20"/>
                <w:szCs w:val="24"/>
                <w:lang w:val="en-GB" w:eastAsia="x-none"/>
              </w:rPr>
            </w:pPr>
          </w:p>
          <w:p w14:paraId="6B4385C0" w14:textId="77777777" w:rsidR="00AD0CF0" w:rsidRPr="000D5E14" w:rsidRDefault="00AD0CF0" w:rsidP="00F04697">
            <w:pPr>
              <w:spacing w:after="0" w:line="240" w:lineRule="auto"/>
              <w:ind w:left="720" w:hanging="720"/>
              <w:rPr>
                <w:rFonts w:ascii="Times" w:eastAsia="Batang" w:hAnsi="Times" w:cs="Times New Roman"/>
                <w:b/>
                <w:sz w:val="20"/>
                <w:szCs w:val="24"/>
                <w:highlight w:val="green"/>
                <w:lang w:val="en-GB" w:eastAsia="x-none"/>
              </w:rPr>
            </w:pPr>
            <w:r w:rsidRPr="000D5E14">
              <w:rPr>
                <w:rFonts w:ascii="Times" w:eastAsia="Batang" w:hAnsi="Times" w:cs="Times New Roman"/>
                <w:b/>
                <w:sz w:val="20"/>
                <w:szCs w:val="24"/>
                <w:highlight w:val="green"/>
                <w:lang w:val="en-GB" w:eastAsia="x-none"/>
              </w:rPr>
              <w:t>Agreement</w:t>
            </w:r>
          </w:p>
          <w:p w14:paraId="186F0546" w14:textId="77777777" w:rsidR="00AD0CF0" w:rsidRPr="000D5E14" w:rsidRDefault="00AD0CF0" w:rsidP="00F04697">
            <w:pPr>
              <w:spacing w:after="0" w:line="240" w:lineRule="auto"/>
              <w:rPr>
                <w:rFonts w:ascii="Times" w:eastAsia="Batang" w:hAnsi="Times" w:cs="Arial"/>
                <w:sz w:val="20"/>
                <w:szCs w:val="24"/>
              </w:rPr>
            </w:pPr>
            <w:r w:rsidRPr="000D5E14">
              <w:rPr>
                <w:rFonts w:ascii="Times" w:eastAsia="Batang" w:hAnsi="Times" w:cs="Arial"/>
                <w:sz w:val="20"/>
                <w:szCs w:val="24"/>
              </w:rPr>
              <w:lastRenderedPageBreak/>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629FEE8" w14:textId="77777777" w:rsidR="00AD0CF0" w:rsidRPr="000D5E14" w:rsidRDefault="00AD0CF0" w:rsidP="00F04697">
            <w:pPr>
              <w:spacing w:after="0" w:line="240" w:lineRule="auto"/>
              <w:rPr>
                <w:rFonts w:ascii="Times" w:eastAsia="Batang" w:hAnsi="Times" w:cs="Arial"/>
                <w:sz w:val="20"/>
                <w:szCs w:val="24"/>
              </w:rPr>
            </w:pPr>
          </w:p>
        </w:tc>
      </w:tr>
    </w:tbl>
    <w:p w14:paraId="594FC88D" w14:textId="77777777" w:rsidR="00AD0CF0" w:rsidRDefault="00AD0CF0" w:rsidP="00AD0CF0">
      <w:pPr>
        <w:pStyle w:val="BodyText"/>
        <w:rPr>
          <w:rFonts w:ascii="Arial" w:hAnsi="Arial" w:cs="Arial"/>
          <w:sz w:val="20"/>
          <w:szCs w:val="20"/>
        </w:rPr>
      </w:pPr>
    </w:p>
    <w:p w14:paraId="64CDBCC3" w14:textId="77777777" w:rsidR="00AD0CF0" w:rsidRPr="007C2B1D" w:rsidRDefault="00AD0CF0" w:rsidP="00AD0CF0">
      <w:pPr>
        <w:pStyle w:val="BodyText"/>
        <w:rPr>
          <w:rFonts w:ascii="Arial" w:hAnsi="Arial" w:cs="Arial"/>
          <w:sz w:val="20"/>
        </w:rPr>
      </w:pPr>
      <w:r>
        <w:rPr>
          <w:rFonts w:ascii="Arial" w:hAnsi="Arial" w:cs="Arial"/>
          <w:sz w:val="20"/>
        </w:rPr>
        <w:t xml:space="preserve">RAN1#95 </w:t>
      </w:r>
      <w:r w:rsidRPr="007C2B1D">
        <w:rPr>
          <w:rFonts w:ascii="Arial" w:hAnsi="Arial" w:cs="Arial"/>
          <w:sz w:val="20"/>
        </w:rPr>
        <w:t>made the following agreement</w:t>
      </w:r>
      <w:r>
        <w:rPr>
          <w:rFonts w:ascii="Arial" w:hAnsi="Arial" w:cs="Arial"/>
          <w:sz w:val="20"/>
        </w:rPr>
        <w:t>s</w:t>
      </w:r>
      <w:r w:rsidRPr="007C2B1D">
        <w:rPr>
          <w:rFonts w:ascii="Arial" w:hAnsi="Arial" w:cs="Arial"/>
          <w:sz w:val="20"/>
        </w:rPr>
        <w:t>:</w:t>
      </w:r>
    </w:p>
    <w:tbl>
      <w:tblPr>
        <w:tblStyle w:val="TableGrid"/>
        <w:tblW w:w="0" w:type="auto"/>
        <w:tblLook w:val="04A0" w:firstRow="1" w:lastRow="0" w:firstColumn="1" w:lastColumn="0" w:noHBand="0" w:noVBand="1"/>
      </w:tblPr>
      <w:tblGrid>
        <w:gridCol w:w="9629"/>
      </w:tblGrid>
      <w:tr w:rsidR="00AD0CF0" w14:paraId="2AD2E08C" w14:textId="77777777" w:rsidTr="00F04697">
        <w:tc>
          <w:tcPr>
            <w:tcW w:w="9629" w:type="dxa"/>
          </w:tcPr>
          <w:p w14:paraId="43CF6220" w14:textId="77777777" w:rsidR="00AD0CF0" w:rsidRPr="006F6BF6" w:rsidRDefault="00AD0CF0" w:rsidP="00F04697">
            <w:pPr>
              <w:spacing w:after="0" w:line="240" w:lineRule="auto"/>
              <w:ind w:left="720" w:hanging="720"/>
              <w:rPr>
                <w:rFonts w:ascii="Times New Roman" w:hAnsi="Times New Roman"/>
                <w:b/>
                <w:sz w:val="20"/>
                <w:szCs w:val="20"/>
                <w:highlight w:val="green"/>
              </w:rPr>
            </w:pPr>
            <w:r w:rsidRPr="006F6BF6">
              <w:rPr>
                <w:rFonts w:ascii="Times New Roman" w:hAnsi="Times New Roman"/>
                <w:b/>
                <w:sz w:val="20"/>
                <w:szCs w:val="20"/>
                <w:highlight w:val="green"/>
              </w:rPr>
              <w:t>Agreement</w:t>
            </w:r>
          </w:p>
          <w:p w14:paraId="05F444F0" w14:textId="77777777" w:rsidR="00AD0CF0" w:rsidRPr="006F6BF6" w:rsidRDefault="00AD0CF0" w:rsidP="00F04697">
            <w:pPr>
              <w:numPr>
                <w:ilvl w:val="0"/>
                <w:numId w:val="29"/>
              </w:numPr>
              <w:spacing w:after="0" w:line="240" w:lineRule="auto"/>
              <w:rPr>
                <w:rFonts w:ascii="Times New Roman" w:hAnsi="Times New Roman"/>
                <w:sz w:val="20"/>
                <w:szCs w:val="20"/>
              </w:rPr>
            </w:pPr>
            <w:r w:rsidRPr="006F6BF6">
              <w:rPr>
                <w:rFonts w:ascii="Times New Roman" w:hAnsi="Times New Roman"/>
                <w:sz w:val="20"/>
                <w:szCs w:val="20"/>
              </w:rPr>
              <w:t>RAN1 continues to study the following techniques for performance improvements of resource block alignment until the next meeting:</w:t>
            </w:r>
          </w:p>
          <w:p w14:paraId="07056077"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Puncturing of resource elements at the outlying subcarrier</w:t>
            </w:r>
          </w:p>
          <w:p w14:paraId="74526E53"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Rate-matching around the outlying subcarrier</w:t>
            </w:r>
          </w:p>
          <w:p w14:paraId="195F4FBB"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Exploitation of a portion of the NR guard band (this would also require RAN4 study)</w:t>
            </w:r>
          </w:p>
          <w:p w14:paraId="788269DC" w14:textId="77777777" w:rsidR="00AD0CF0" w:rsidRDefault="00AD0CF0" w:rsidP="00F04697">
            <w:pPr>
              <w:numPr>
                <w:ilvl w:val="0"/>
                <w:numId w:val="29"/>
              </w:numPr>
              <w:spacing w:after="0" w:line="240" w:lineRule="auto"/>
              <w:rPr>
                <w:rFonts w:ascii="Times New Roman" w:hAnsi="Times New Roman"/>
                <w:sz w:val="20"/>
                <w:szCs w:val="20"/>
              </w:rPr>
            </w:pPr>
            <w:r w:rsidRPr="006F6BF6">
              <w:rPr>
                <w:rFonts w:ascii="Times New Roman" w:hAnsi="Times New Roman"/>
                <w:sz w:val="20"/>
                <w:szCs w:val="20"/>
              </w:rPr>
              <w:t>RAN1 continues to consider all combinations of LTE-MTC system bandwidths and NR system bandwidths when discussing potential co-existence performance improvements.</w:t>
            </w:r>
          </w:p>
          <w:p w14:paraId="3E240E37" w14:textId="77777777" w:rsidR="00AD0CF0" w:rsidRDefault="00AD0CF0" w:rsidP="00F04697">
            <w:pPr>
              <w:spacing w:after="0" w:line="240" w:lineRule="auto"/>
              <w:rPr>
                <w:rFonts w:ascii="Times New Roman" w:hAnsi="Times New Roman"/>
                <w:sz w:val="20"/>
                <w:szCs w:val="20"/>
              </w:rPr>
            </w:pPr>
          </w:p>
          <w:p w14:paraId="08422009" w14:textId="77777777" w:rsidR="00AD0CF0" w:rsidRPr="006F6BF6" w:rsidRDefault="00AD0CF0" w:rsidP="00F04697">
            <w:pPr>
              <w:spacing w:after="0" w:line="240" w:lineRule="auto"/>
              <w:ind w:left="720" w:hanging="720"/>
              <w:rPr>
                <w:rFonts w:ascii="Times New Roman" w:hAnsi="Times New Roman"/>
                <w:b/>
                <w:sz w:val="20"/>
                <w:szCs w:val="20"/>
                <w:highlight w:val="green"/>
                <w:lang w:eastAsia="x-none"/>
              </w:rPr>
            </w:pPr>
            <w:r w:rsidRPr="006F6BF6">
              <w:rPr>
                <w:rFonts w:ascii="Times New Roman" w:hAnsi="Times New Roman"/>
                <w:b/>
                <w:sz w:val="20"/>
                <w:szCs w:val="20"/>
                <w:highlight w:val="green"/>
                <w:lang w:eastAsia="x-none"/>
              </w:rPr>
              <w:t>Agreement</w:t>
            </w:r>
          </w:p>
          <w:p w14:paraId="6BD3BAC1" w14:textId="77777777" w:rsidR="00AD0CF0" w:rsidRPr="006F6BF6" w:rsidRDefault="00AD0CF0" w:rsidP="00F04697">
            <w:pPr>
              <w:numPr>
                <w:ilvl w:val="0"/>
                <w:numId w:val="29"/>
              </w:numPr>
              <w:spacing w:after="0" w:line="240" w:lineRule="auto"/>
              <w:rPr>
                <w:rFonts w:ascii="Times New Roman" w:hAnsi="Times New Roman"/>
                <w:sz w:val="20"/>
                <w:szCs w:val="20"/>
              </w:rPr>
            </w:pPr>
            <w:bookmarkStart w:id="21" w:name="_Hlk1663653"/>
            <w:r w:rsidRPr="006F6BF6">
              <w:rPr>
                <w:rFonts w:ascii="Times New Roman" w:hAnsi="Times New Roman"/>
                <w:sz w:val="20"/>
                <w:szCs w:val="20"/>
              </w:rPr>
              <w:t>RAN1 continues to study the following techniques for performance improvements of LTE-MTC resource allocation until the next meeting:</w:t>
            </w:r>
          </w:p>
          <w:p w14:paraId="34B074E0"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Resource reservation at symbol level/slot level/subframe level/subcarrier level</w:t>
            </w:r>
          </w:p>
          <w:p w14:paraId="70808B77"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Whether the resource reservation is dynamic or semi-static (if supported)</w:t>
            </w:r>
          </w:p>
          <w:p w14:paraId="0E73491F"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Whether and how to support LTE-MTC transmission in a portion of the subframe</w:t>
            </w:r>
          </w:p>
          <w:p w14:paraId="77C8EB85" w14:textId="77777777" w:rsidR="00AD0CF0" w:rsidRPr="006F6BF6"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Impact of resource reservation to legacy UEs</w:t>
            </w:r>
          </w:p>
          <w:p w14:paraId="72005589" w14:textId="77777777" w:rsidR="00AD0CF0" w:rsidRDefault="00AD0CF0" w:rsidP="00F04697">
            <w:pPr>
              <w:numPr>
                <w:ilvl w:val="1"/>
                <w:numId w:val="29"/>
              </w:numPr>
              <w:spacing w:after="0" w:line="240" w:lineRule="auto"/>
              <w:rPr>
                <w:rFonts w:ascii="Times New Roman" w:hAnsi="Times New Roman"/>
                <w:sz w:val="20"/>
                <w:szCs w:val="20"/>
              </w:rPr>
            </w:pPr>
            <w:r w:rsidRPr="006F6BF6">
              <w:rPr>
                <w:rFonts w:ascii="Times New Roman" w:hAnsi="Times New Roman"/>
                <w:sz w:val="20"/>
                <w:szCs w:val="20"/>
              </w:rPr>
              <w:t>Whether LTE-MTC transmission is postponed or dropped in reserved resources</w:t>
            </w:r>
          </w:p>
          <w:bookmarkEnd w:id="21"/>
          <w:p w14:paraId="11DE4B4E" w14:textId="77777777" w:rsidR="00AD0CF0" w:rsidRDefault="00AD0CF0" w:rsidP="00F04697">
            <w:pPr>
              <w:spacing w:after="0" w:line="240" w:lineRule="auto"/>
              <w:rPr>
                <w:rFonts w:ascii="Times New Roman" w:hAnsi="Times New Roman"/>
                <w:sz w:val="20"/>
                <w:szCs w:val="20"/>
              </w:rPr>
            </w:pPr>
          </w:p>
          <w:p w14:paraId="662254F4" w14:textId="77777777" w:rsidR="00AD0CF0" w:rsidRDefault="00AD0CF0" w:rsidP="00653199">
            <w:pPr>
              <w:spacing w:after="0" w:line="240" w:lineRule="auto"/>
              <w:rPr>
                <w:rFonts w:ascii="Times New Roman" w:hAnsi="Times New Roman"/>
                <w:sz w:val="20"/>
                <w:szCs w:val="20"/>
              </w:rPr>
            </w:pPr>
            <w:r w:rsidRPr="006F6BF6">
              <w:rPr>
                <w:rFonts w:ascii="Times New Roman" w:hAnsi="Times New Roman"/>
                <w:b/>
                <w:sz w:val="20"/>
                <w:szCs w:val="20"/>
                <w:highlight w:val="green"/>
              </w:rPr>
              <w:t>Agreement</w:t>
            </w:r>
            <w:r>
              <w:rPr>
                <w:rFonts w:ascii="Times New Roman" w:hAnsi="Times New Roman"/>
                <w:b/>
                <w:sz w:val="20"/>
                <w:szCs w:val="20"/>
              </w:rPr>
              <w:br/>
            </w:r>
            <w:r w:rsidRPr="006F6BF6">
              <w:rPr>
                <w:rFonts w:ascii="Times New Roman" w:hAnsi="Times New Roman"/>
                <w:sz w:val="20"/>
                <w:szCs w:val="20"/>
              </w:rPr>
              <w:t>RAN1 studies LTE-MTC transmission outside the legacy LTE system bandwidth (for reduced NR reserved resource cost for CRS, SIB1-BR, paging, etc.) until the next meeting</w:t>
            </w:r>
            <w:r w:rsidR="00653199">
              <w:rPr>
                <w:rFonts w:ascii="Times New Roman" w:hAnsi="Times New Roman"/>
                <w:sz w:val="20"/>
                <w:szCs w:val="20"/>
              </w:rPr>
              <w:t>.</w:t>
            </w:r>
          </w:p>
          <w:p w14:paraId="17FB9D6B" w14:textId="2D886F4B" w:rsidR="00653199" w:rsidRPr="006F6BF6" w:rsidRDefault="00653199" w:rsidP="00653199">
            <w:pPr>
              <w:spacing w:after="0" w:line="240" w:lineRule="auto"/>
              <w:rPr>
                <w:rFonts w:ascii="Times New Roman" w:hAnsi="Times New Roman"/>
                <w:b/>
                <w:sz w:val="20"/>
                <w:szCs w:val="20"/>
                <w:highlight w:val="green"/>
              </w:rPr>
            </w:pPr>
          </w:p>
        </w:tc>
      </w:tr>
    </w:tbl>
    <w:p w14:paraId="76FD2A0E" w14:textId="77777777" w:rsidR="00AD0CF0" w:rsidRDefault="00AD0CF0" w:rsidP="00AD0CF0">
      <w:pPr>
        <w:pStyle w:val="BodyText"/>
        <w:rPr>
          <w:rFonts w:ascii="Arial" w:hAnsi="Arial" w:cs="Arial"/>
          <w:sz w:val="20"/>
          <w:szCs w:val="20"/>
        </w:rPr>
      </w:pPr>
    </w:p>
    <w:p w14:paraId="69435B10" w14:textId="77777777" w:rsidR="00AD0CF0" w:rsidRPr="007C2B1D" w:rsidRDefault="00AD0CF0" w:rsidP="00AD0CF0">
      <w:pPr>
        <w:pStyle w:val="BodyText"/>
        <w:rPr>
          <w:rFonts w:ascii="Arial" w:hAnsi="Arial" w:cs="Arial"/>
          <w:sz w:val="20"/>
        </w:rPr>
      </w:pPr>
      <w:r>
        <w:rPr>
          <w:rFonts w:ascii="Arial" w:hAnsi="Arial" w:cs="Arial"/>
          <w:sz w:val="20"/>
        </w:rPr>
        <w:t xml:space="preserve">RAN1#96 </w:t>
      </w:r>
      <w:r w:rsidRPr="007C2B1D">
        <w:rPr>
          <w:rFonts w:ascii="Arial" w:hAnsi="Arial" w:cs="Arial"/>
          <w:sz w:val="20"/>
        </w:rPr>
        <w:t>made the following agreement</w:t>
      </w:r>
      <w:r>
        <w:rPr>
          <w:rFonts w:ascii="Arial" w:hAnsi="Arial" w:cs="Arial"/>
          <w:sz w:val="20"/>
        </w:rPr>
        <w:t>s</w:t>
      </w:r>
      <w:r w:rsidRPr="007C2B1D">
        <w:rPr>
          <w:rFonts w:ascii="Arial" w:hAnsi="Arial" w:cs="Arial"/>
          <w:sz w:val="20"/>
        </w:rPr>
        <w:t>:</w:t>
      </w:r>
    </w:p>
    <w:tbl>
      <w:tblPr>
        <w:tblStyle w:val="TableGrid1"/>
        <w:tblW w:w="0" w:type="auto"/>
        <w:tblInd w:w="-5" w:type="dxa"/>
        <w:tblLook w:val="04A0" w:firstRow="1" w:lastRow="0" w:firstColumn="1" w:lastColumn="0" w:noHBand="0" w:noVBand="1"/>
      </w:tblPr>
      <w:tblGrid>
        <w:gridCol w:w="9634"/>
      </w:tblGrid>
      <w:tr w:rsidR="00AD0CF0" w:rsidRPr="00041DF6" w14:paraId="38AA18F9" w14:textId="77777777" w:rsidTr="00F04697">
        <w:tc>
          <w:tcPr>
            <w:tcW w:w="9634" w:type="dxa"/>
          </w:tcPr>
          <w:p w14:paraId="580957F1" w14:textId="77777777" w:rsidR="00AD0CF0" w:rsidRPr="00041DF6" w:rsidRDefault="00AD0CF0" w:rsidP="00F04697">
            <w:pPr>
              <w:spacing w:after="0" w:line="240" w:lineRule="auto"/>
              <w:ind w:left="720" w:hanging="720"/>
              <w:rPr>
                <w:rFonts w:ascii="Times" w:eastAsia="Batang" w:hAnsi="Times" w:cs="Times New Roman"/>
                <w:b/>
                <w:sz w:val="20"/>
                <w:szCs w:val="24"/>
                <w:lang w:val="en-GB" w:eastAsia="x-none"/>
              </w:rPr>
            </w:pPr>
            <w:r w:rsidRPr="00041DF6">
              <w:rPr>
                <w:rFonts w:ascii="Times" w:eastAsia="Batang" w:hAnsi="Times" w:cs="Times New Roman"/>
                <w:b/>
                <w:sz w:val="20"/>
                <w:szCs w:val="24"/>
                <w:lang w:val="en-GB" w:eastAsia="x-none"/>
              </w:rPr>
              <w:t>For further study in future meetings:</w:t>
            </w:r>
          </w:p>
          <w:p w14:paraId="797F9E4D" w14:textId="77777777" w:rsidR="00AD0CF0" w:rsidRPr="00041DF6" w:rsidRDefault="00AD0CF0" w:rsidP="00F04697">
            <w:pPr>
              <w:numPr>
                <w:ilvl w:val="0"/>
                <w:numId w:val="29"/>
              </w:numPr>
              <w:spacing w:after="0" w:line="240" w:lineRule="auto"/>
              <w:contextualSpacing/>
              <w:rPr>
                <w:rFonts w:ascii="Times New Roman" w:eastAsia="Batang" w:hAnsi="Times New Roman" w:cs="Times New Roman"/>
                <w:sz w:val="20"/>
                <w:szCs w:val="24"/>
                <w:lang w:val="en-GB" w:eastAsia="x-none"/>
              </w:rPr>
            </w:pPr>
            <w:r w:rsidRPr="00041DF6">
              <w:rPr>
                <w:rFonts w:ascii="Times New Roman" w:eastAsia="Batang" w:hAnsi="Times New Roman" w:cs="Times New Roman"/>
                <w:sz w:val="20"/>
                <w:szCs w:val="24"/>
                <w:lang w:val="en-GB" w:eastAsia="x-none"/>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2FE8E370"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146A1615" w14:textId="77777777" w:rsidR="00AD0CF0" w:rsidRPr="00041DF6" w:rsidRDefault="00AD0CF0" w:rsidP="00F04697">
            <w:pPr>
              <w:numPr>
                <w:ilvl w:val="1"/>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How to minimize the number of outlying LTE-MTC subcarriers</w:t>
            </w:r>
          </w:p>
          <w:p w14:paraId="44DDE7AA" w14:textId="77777777" w:rsidR="00AD0CF0" w:rsidRPr="00041DF6" w:rsidRDefault="00AD0CF0" w:rsidP="00F04697">
            <w:pPr>
              <w:numPr>
                <w:ilvl w:val="1"/>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 xml:space="preserve">To what extent the LTE-MTC UE needs to be aware subcarriers not used for transmission </w:t>
            </w:r>
          </w:p>
          <w:p w14:paraId="100D3BE7" w14:textId="77777777" w:rsidR="00AD0CF0" w:rsidRPr="00041DF6" w:rsidRDefault="00AD0CF0" w:rsidP="00F04697">
            <w:pPr>
              <w:numPr>
                <w:ilvl w:val="1"/>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Performance impacts of the LTE-MTC subcarrier puncturing</w:t>
            </w:r>
          </w:p>
          <w:p w14:paraId="66BFC9E8" w14:textId="77777777" w:rsidR="00AD0CF0" w:rsidRPr="00041DF6" w:rsidRDefault="00AD0CF0" w:rsidP="00F04697">
            <w:pPr>
              <w:numPr>
                <w:ilvl w:val="1"/>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Some of the methods may only apply for downlink</w:t>
            </w:r>
          </w:p>
          <w:p w14:paraId="66B1C3F0"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4"/>
                <w:lang w:val="en-GB"/>
              </w:rPr>
            </w:pPr>
            <w:r w:rsidRPr="00041DF6">
              <w:rPr>
                <w:rFonts w:ascii="Times New Roman" w:eastAsia="Batang" w:hAnsi="Times New Roman" w:cs="Times New Roman"/>
                <w:sz w:val="20"/>
                <w:szCs w:val="24"/>
                <w:lang w:val="en-GB"/>
              </w:rPr>
              <w:t>RAN1 studies whether to support configurable RB shift for LTE-MTC in some cases (e.g. stand-alone/in-band, FDD/TDD, DL/UL).</w:t>
            </w:r>
          </w:p>
          <w:p w14:paraId="4CB6B54A" w14:textId="77777777" w:rsidR="00AD0CF0" w:rsidRPr="00041DF6" w:rsidRDefault="00AD0CF0" w:rsidP="00F04697">
            <w:pPr>
              <w:spacing w:after="0" w:line="240" w:lineRule="auto"/>
              <w:ind w:left="720" w:hanging="720"/>
              <w:rPr>
                <w:rFonts w:ascii="Times" w:eastAsia="Batang" w:hAnsi="Times" w:cs="Times New Roman"/>
                <w:sz w:val="16"/>
                <w:szCs w:val="24"/>
                <w:lang w:val="en-GB" w:eastAsia="x-none"/>
              </w:rPr>
            </w:pPr>
          </w:p>
          <w:p w14:paraId="1855AF54" w14:textId="5ACF8315" w:rsidR="00AD0CF0" w:rsidRPr="00041DF6" w:rsidRDefault="00AD0CF0" w:rsidP="00F04697">
            <w:pPr>
              <w:spacing w:after="0" w:line="240" w:lineRule="auto"/>
              <w:ind w:left="720" w:hanging="720"/>
              <w:rPr>
                <w:rFonts w:ascii="Times" w:eastAsia="Batang" w:hAnsi="Times" w:cs="Times New Roman"/>
                <w:b/>
                <w:sz w:val="20"/>
                <w:szCs w:val="24"/>
                <w:highlight w:val="green"/>
                <w:lang w:val="en-GB" w:eastAsia="x-none"/>
              </w:rPr>
            </w:pPr>
            <w:r w:rsidRPr="00041DF6">
              <w:rPr>
                <w:rFonts w:ascii="Times" w:eastAsia="Batang" w:hAnsi="Times" w:cs="Times New Roman"/>
                <w:b/>
                <w:sz w:val="20"/>
                <w:szCs w:val="24"/>
                <w:highlight w:val="green"/>
                <w:lang w:val="en-GB" w:eastAsia="x-none"/>
              </w:rPr>
              <w:t>Agreement</w:t>
            </w:r>
          </w:p>
          <w:p w14:paraId="2A33DC05" w14:textId="77777777" w:rsidR="00AD0CF0" w:rsidRPr="00041DF6" w:rsidRDefault="00AD0CF0" w:rsidP="00F04697">
            <w:pPr>
              <w:spacing w:after="0" w:line="240" w:lineRule="auto"/>
              <w:rPr>
                <w:rFonts w:ascii="Times" w:eastAsia="Batang" w:hAnsi="Times" w:cs="Times New Roman"/>
                <w:sz w:val="20"/>
                <w:szCs w:val="24"/>
                <w:lang w:val="en-GB" w:eastAsia="x-none"/>
              </w:rPr>
            </w:pPr>
            <w:r w:rsidRPr="00041DF6">
              <w:rPr>
                <w:rFonts w:ascii="Times" w:eastAsia="Batang" w:hAnsi="Times" w:cs="Times New Roman"/>
                <w:sz w:val="20"/>
                <w:szCs w:val="24"/>
                <w:lang w:val="en-GB" w:eastAsia="x-none"/>
              </w:rPr>
              <w:t xml:space="preserve">RAN1 </w:t>
            </w:r>
            <w:r w:rsidRPr="00041DF6">
              <w:rPr>
                <w:rFonts w:ascii="Times New Roman" w:eastAsia="Batang" w:hAnsi="Times New Roman" w:cs="Times New Roman"/>
                <w:sz w:val="20"/>
                <w:szCs w:val="24"/>
                <w:lang w:val="en-GB"/>
              </w:rPr>
              <w:t>considers</w:t>
            </w:r>
            <w:r w:rsidRPr="00041DF6">
              <w:rPr>
                <w:rFonts w:ascii="Times" w:eastAsia="Batang" w:hAnsi="Times" w:cs="Times New Roman"/>
                <w:sz w:val="20"/>
                <w:szCs w:val="24"/>
                <w:lang w:val="en-GB" w:eastAsia="x-none"/>
              </w:rPr>
              <w:t xml:space="preserve"> coexistence cases for different NR subcarrier spacing (SCS), with higher priority given first to 15 kHz SCS and then to 30 kHz SCS.</w:t>
            </w:r>
          </w:p>
          <w:p w14:paraId="228C6FA1" w14:textId="77777777" w:rsidR="00AD0CF0" w:rsidRPr="00041DF6" w:rsidRDefault="00AD0CF0" w:rsidP="00F04697">
            <w:pPr>
              <w:spacing w:after="0" w:line="240" w:lineRule="auto"/>
              <w:ind w:left="720" w:hanging="720"/>
              <w:rPr>
                <w:rFonts w:ascii="Times" w:eastAsia="Batang" w:hAnsi="Times" w:cs="Times New Roman"/>
                <w:sz w:val="20"/>
                <w:szCs w:val="24"/>
                <w:lang w:val="en-GB" w:eastAsia="x-none"/>
              </w:rPr>
            </w:pPr>
          </w:p>
          <w:p w14:paraId="00A335BB"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eastAsia="x-none"/>
              </w:rPr>
            </w:pPr>
            <w:r w:rsidRPr="00041DF6">
              <w:rPr>
                <w:rFonts w:ascii="Times New Roman" w:eastAsia="Batang" w:hAnsi="Times New Roman" w:cs="Times New Roman"/>
                <w:b/>
                <w:sz w:val="20"/>
                <w:szCs w:val="20"/>
                <w:lang w:val="en-GB" w:eastAsia="x-none"/>
              </w:rPr>
              <w:t>For further study in future meetings:</w:t>
            </w:r>
          </w:p>
          <w:p w14:paraId="1050E9EE"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RAN1 continues to study semi-static LTE-MTC resource reservation for improved coexistence with NR SSB, NR CORESET, NR CSI-RS, and NR TRS.</w:t>
            </w:r>
          </w:p>
          <w:p w14:paraId="0B2AFC46"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RAN1 continues to study both semi-static and dynamic LTE-MTC resource reservation for improved coexistence with other NR transmissions than NR SSB, NR CORESET, NR CSI-RS, and NR TRS.</w:t>
            </w:r>
          </w:p>
          <w:p w14:paraId="0B1CB9E0"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RAN1 continues to study how to handle potential collision between LTE-MTC transmissions and NR URLLC related transmissions.</w:t>
            </w:r>
          </w:p>
          <w:p w14:paraId="68137730"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eastAsia="x-none"/>
              </w:rPr>
            </w:pPr>
          </w:p>
          <w:p w14:paraId="4DD06675"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eastAsia="x-none"/>
              </w:rPr>
            </w:pPr>
            <w:r w:rsidRPr="00041DF6">
              <w:rPr>
                <w:rFonts w:ascii="Times New Roman" w:eastAsia="Batang" w:hAnsi="Times New Roman" w:cs="Times New Roman"/>
                <w:b/>
                <w:sz w:val="20"/>
                <w:szCs w:val="20"/>
                <w:lang w:val="en-GB" w:eastAsia="x-none"/>
              </w:rPr>
              <w:t>For further study in future meetings:</w:t>
            </w:r>
          </w:p>
          <w:p w14:paraId="4EF77BF5" w14:textId="77777777" w:rsidR="00AD0CF0" w:rsidRPr="00041DF6"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lastRenderedPageBreak/>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075B3D99"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rPr>
            </w:pPr>
          </w:p>
          <w:p w14:paraId="5256D705" w14:textId="77777777" w:rsidR="00AD0CF0" w:rsidRPr="00041DF6" w:rsidRDefault="00AD0CF0" w:rsidP="00F04697">
            <w:pPr>
              <w:spacing w:after="0" w:line="240" w:lineRule="auto"/>
              <w:ind w:left="720" w:hanging="720"/>
              <w:rPr>
                <w:rFonts w:ascii="Times New Roman" w:eastAsia="Batang" w:hAnsi="Times New Roman" w:cs="Times New Roman"/>
                <w:b/>
                <w:sz w:val="20"/>
                <w:szCs w:val="20"/>
                <w:lang w:val="en-GB"/>
              </w:rPr>
            </w:pPr>
            <w:r w:rsidRPr="00041DF6">
              <w:rPr>
                <w:rFonts w:ascii="Times New Roman" w:eastAsia="Batang" w:hAnsi="Times New Roman" w:cs="Times New Roman"/>
                <w:b/>
                <w:sz w:val="20"/>
                <w:szCs w:val="20"/>
                <w:lang w:val="en-GB"/>
              </w:rPr>
              <w:t>Conclusion</w:t>
            </w:r>
          </w:p>
          <w:p w14:paraId="6883BCBF" w14:textId="77777777" w:rsidR="00AD0CF0" w:rsidRDefault="00AD0CF0" w:rsidP="00F04697">
            <w:pPr>
              <w:numPr>
                <w:ilvl w:val="0"/>
                <w:numId w:val="29"/>
              </w:numPr>
              <w:spacing w:after="0" w:line="240" w:lineRule="auto"/>
              <w:rPr>
                <w:rFonts w:ascii="Times New Roman" w:eastAsia="Batang" w:hAnsi="Times New Roman" w:cs="Times New Roman"/>
                <w:sz w:val="20"/>
                <w:szCs w:val="20"/>
                <w:lang w:val="en-GB"/>
              </w:rPr>
            </w:pPr>
            <w:r w:rsidRPr="00041DF6">
              <w:rPr>
                <w:rFonts w:ascii="Times New Roman" w:eastAsia="Batang" w:hAnsi="Times New Roman" w:cs="Times New Roman"/>
                <w:sz w:val="20"/>
                <w:szCs w:val="20"/>
                <w:lang w:val="en-GB"/>
              </w:rPr>
              <w:t>Non-backwards-compatible approaches for reduced CRS overhead or reduced impact from frequency hopping is not supported in Rel-16.</w:t>
            </w:r>
          </w:p>
          <w:p w14:paraId="20ECD4BD" w14:textId="77777777" w:rsidR="00AD0CF0" w:rsidRPr="00041DF6" w:rsidRDefault="00AD0CF0" w:rsidP="00F04697">
            <w:pPr>
              <w:spacing w:after="0" w:line="240" w:lineRule="auto"/>
              <w:rPr>
                <w:rFonts w:ascii="Times New Roman" w:eastAsia="Batang" w:hAnsi="Times New Roman" w:cs="Times New Roman"/>
                <w:sz w:val="20"/>
                <w:szCs w:val="20"/>
                <w:lang w:val="en-GB"/>
              </w:rPr>
            </w:pPr>
          </w:p>
        </w:tc>
      </w:tr>
    </w:tbl>
    <w:p w14:paraId="45FC45F5" w14:textId="77777777" w:rsidR="00B31367" w:rsidRDefault="00B31367" w:rsidP="00B31367">
      <w:pPr>
        <w:pStyle w:val="BodyText"/>
        <w:rPr>
          <w:rFonts w:ascii="Arial" w:hAnsi="Arial" w:cs="Arial"/>
          <w:sz w:val="20"/>
        </w:rPr>
      </w:pPr>
    </w:p>
    <w:p w14:paraId="457FC7C0" w14:textId="644F0193" w:rsidR="00B31367" w:rsidRPr="007C2B1D" w:rsidRDefault="00B31367" w:rsidP="00B31367">
      <w:pPr>
        <w:pStyle w:val="BodyText"/>
        <w:rPr>
          <w:rFonts w:ascii="Arial" w:hAnsi="Arial" w:cs="Arial"/>
          <w:sz w:val="20"/>
        </w:rPr>
      </w:pPr>
      <w:r>
        <w:rPr>
          <w:rFonts w:ascii="Arial" w:hAnsi="Arial" w:cs="Arial"/>
          <w:sz w:val="20"/>
        </w:rPr>
        <w:t xml:space="preserve">RAN1#96bis </w:t>
      </w:r>
      <w:r w:rsidRPr="007C2B1D">
        <w:rPr>
          <w:rFonts w:ascii="Arial" w:hAnsi="Arial" w:cs="Arial"/>
          <w:sz w:val="20"/>
        </w:rPr>
        <w:t>made the following agreement</w:t>
      </w:r>
      <w:r>
        <w:rPr>
          <w:rFonts w:ascii="Arial" w:hAnsi="Arial" w:cs="Arial"/>
          <w:sz w:val="20"/>
        </w:rPr>
        <w:t>s</w:t>
      </w:r>
      <w:r w:rsidRPr="007C2B1D">
        <w:rPr>
          <w:rFonts w:ascii="Arial" w:hAnsi="Arial" w:cs="Arial"/>
          <w:sz w:val="20"/>
        </w:rPr>
        <w:t>:</w:t>
      </w:r>
    </w:p>
    <w:tbl>
      <w:tblPr>
        <w:tblStyle w:val="TableGrid2"/>
        <w:tblW w:w="0" w:type="auto"/>
        <w:tblInd w:w="-5" w:type="dxa"/>
        <w:tblLook w:val="04A0" w:firstRow="1" w:lastRow="0" w:firstColumn="1" w:lastColumn="0" w:noHBand="0" w:noVBand="1"/>
      </w:tblPr>
      <w:tblGrid>
        <w:gridCol w:w="9634"/>
      </w:tblGrid>
      <w:tr w:rsidR="00B31367" w:rsidRPr="00B31367" w14:paraId="43ADFB5C" w14:textId="77777777" w:rsidTr="00B31367">
        <w:tc>
          <w:tcPr>
            <w:tcW w:w="9634" w:type="dxa"/>
          </w:tcPr>
          <w:p w14:paraId="7F641920" w14:textId="77777777" w:rsidR="00B31367" w:rsidRPr="00B31367" w:rsidRDefault="00B31367" w:rsidP="00B31367">
            <w:pPr>
              <w:spacing w:after="0" w:line="240" w:lineRule="auto"/>
              <w:ind w:left="720" w:hanging="720"/>
              <w:rPr>
                <w:rFonts w:ascii="Times" w:eastAsia="Batang" w:hAnsi="Times" w:cs="Times New Roman"/>
                <w:b/>
                <w:sz w:val="20"/>
                <w:szCs w:val="24"/>
                <w:lang w:val="en-GB" w:eastAsia="x-none"/>
              </w:rPr>
            </w:pPr>
            <w:r w:rsidRPr="00B31367">
              <w:rPr>
                <w:rFonts w:ascii="Times" w:eastAsia="Batang" w:hAnsi="Times" w:cs="Times New Roman"/>
                <w:b/>
                <w:sz w:val="20"/>
                <w:szCs w:val="24"/>
                <w:lang w:val="en-GB" w:eastAsia="x-none"/>
              </w:rPr>
              <w:t>For further study until RAN1#97</w:t>
            </w:r>
          </w:p>
          <w:p w14:paraId="3E24DA62" w14:textId="77777777" w:rsidR="00B31367" w:rsidRPr="00B31367" w:rsidRDefault="00B31367" w:rsidP="00027738">
            <w:pPr>
              <w:numPr>
                <w:ilvl w:val="0"/>
                <w:numId w:val="29"/>
              </w:numPr>
              <w:spacing w:after="0" w:line="240" w:lineRule="auto"/>
              <w:rPr>
                <w:rFonts w:ascii="Times New Roman" w:eastAsia="Times New Roman" w:hAnsi="Times New Roman" w:cs="Times New Roman"/>
                <w:sz w:val="20"/>
                <w:szCs w:val="20"/>
                <w:lang w:val="en-GB"/>
              </w:rPr>
            </w:pPr>
            <w:r w:rsidRPr="00B31367">
              <w:rPr>
                <w:rFonts w:ascii="Times New Roman" w:eastAsia="Times New Roman" w:hAnsi="Times New Roman" w:cs="Times New Roman"/>
                <w:sz w:val="20"/>
                <w:szCs w:val="20"/>
                <w:lang w:val="en-GB"/>
              </w:rPr>
              <w:t>RAN1 continues to study puncturing and/or rate-matching of outlying LTE-MTC subcarriers for performance improvement of resource block alignment between LTE-MTC and NR until RAN1#97.</w:t>
            </w:r>
          </w:p>
          <w:p w14:paraId="26DAC1E3"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eastAsia="zh-CN"/>
              </w:rPr>
              <w:t>Assume truncation of 1, 4 or 5 LTE-MTC DL subcarriers in case of an even total number of NR RBs and 2, 3 or 6 LTE-MTC DL subcarriers in case of an odd total number of NR RBs.</w:t>
            </w:r>
          </w:p>
          <w:p w14:paraId="314CE49A"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eastAsia="zh-CN"/>
              </w:rPr>
              <w:t>Consider truncation of outlying LTE-MTC DL subcarriers without the (legacy) UE being aware of the puncturing as a reference case.</w:t>
            </w:r>
          </w:p>
          <w:p w14:paraId="6DEAB831"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0"/>
                <w:lang w:val="en-GB"/>
              </w:rPr>
              <w:t>Assume that no new transmission scheme (for example, single tone transmission) is introduced after the outlying subcarrier is punctured or rate-matched around.</w:t>
            </w:r>
          </w:p>
          <w:p w14:paraId="60A91E3E"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 xml:space="preserve">Assume that CRS is not </w:t>
            </w:r>
            <w:r w:rsidRPr="00B31367">
              <w:rPr>
                <w:rFonts w:ascii="Times New Roman" w:eastAsia="Batang" w:hAnsi="Times New Roman" w:cs="Times New Roman"/>
                <w:sz w:val="20"/>
                <w:szCs w:val="24"/>
                <w:lang w:val="en-GB" w:eastAsia="zh-CN"/>
              </w:rPr>
              <w:t>truncated</w:t>
            </w:r>
            <w:r w:rsidRPr="00B31367">
              <w:rPr>
                <w:rFonts w:ascii="Times New Roman" w:eastAsia="Batang" w:hAnsi="Times New Roman" w:cs="Times New Roman"/>
                <w:sz w:val="20"/>
                <w:szCs w:val="24"/>
                <w:lang w:val="en-GB"/>
              </w:rPr>
              <w:t>.</w:t>
            </w:r>
          </w:p>
          <w:p w14:paraId="52FA26D6" w14:textId="77777777" w:rsidR="00B31367" w:rsidRPr="00B31367" w:rsidRDefault="00B31367" w:rsidP="00B31367">
            <w:pPr>
              <w:numPr>
                <w:ilvl w:val="2"/>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FFS: DMRS</w:t>
            </w:r>
          </w:p>
          <w:p w14:paraId="61B0B250"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Consider both DL and UL aspects including</w:t>
            </w:r>
          </w:p>
          <w:p w14:paraId="52B58758" w14:textId="77777777" w:rsidR="00B31367" w:rsidRPr="00B31367" w:rsidRDefault="00B31367" w:rsidP="00B31367">
            <w:pPr>
              <w:numPr>
                <w:ilvl w:val="2"/>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PDSCH, PUSCH, MPDCCH, PUCCH</w:t>
            </w:r>
          </w:p>
          <w:p w14:paraId="19162478" w14:textId="77777777" w:rsidR="00B31367" w:rsidRPr="00B31367" w:rsidRDefault="00B31367" w:rsidP="00B31367">
            <w:pPr>
              <w:spacing w:after="0" w:line="240" w:lineRule="auto"/>
              <w:rPr>
                <w:rFonts w:ascii="Times" w:eastAsia="Batang" w:hAnsi="Times" w:cs="Times New Roman"/>
                <w:sz w:val="20"/>
                <w:szCs w:val="24"/>
                <w:lang w:val="en-GB" w:eastAsia="x-none"/>
              </w:rPr>
            </w:pPr>
          </w:p>
          <w:p w14:paraId="0181DFD9" w14:textId="77777777" w:rsidR="00B31367" w:rsidRPr="00B31367" w:rsidRDefault="00B31367" w:rsidP="00B31367">
            <w:pPr>
              <w:spacing w:after="0" w:line="240" w:lineRule="auto"/>
              <w:ind w:left="720" w:hanging="720"/>
              <w:rPr>
                <w:rFonts w:ascii="Times" w:eastAsia="Batang" w:hAnsi="Times" w:cs="Times New Roman"/>
                <w:b/>
                <w:sz w:val="20"/>
                <w:szCs w:val="24"/>
                <w:lang w:val="en-GB" w:eastAsia="x-none"/>
              </w:rPr>
            </w:pPr>
            <w:r w:rsidRPr="00B31367">
              <w:rPr>
                <w:rFonts w:ascii="Times" w:eastAsia="Batang" w:hAnsi="Times" w:cs="Times New Roman"/>
                <w:b/>
                <w:sz w:val="20"/>
                <w:szCs w:val="24"/>
                <w:lang w:val="en-GB" w:eastAsia="x-none"/>
              </w:rPr>
              <w:t>Conclusion</w:t>
            </w:r>
          </w:p>
          <w:p w14:paraId="6E75298C" w14:textId="77777777" w:rsidR="00B31367" w:rsidRPr="00B31367" w:rsidRDefault="00B31367" w:rsidP="00B31367">
            <w:pPr>
              <w:spacing w:after="0" w:line="240" w:lineRule="auto"/>
              <w:rPr>
                <w:rFonts w:ascii="Times" w:eastAsia="Batang" w:hAnsi="Times" w:cs="Times New Roman"/>
                <w:sz w:val="20"/>
                <w:szCs w:val="24"/>
                <w:lang w:val="en-GB" w:eastAsia="x-none"/>
              </w:rPr>
            </w:pPr>
            <w:r w:rsidRPr="00B31367">
              <w:rPr>
                <w:rFonts w:ascii="Times" w:eastAsia="Batang" w:hAnsi="Times" w:cs="Times New Roman"/>
                <w:sz w:val="20"/>
                <w:szCs w:val="24"/>
                <w:lang w:val="en-GB" w:eastAsia="x-none"/>
              </w:rPr>
              <w:t>RAN1 does not further consider placement of LTE-MTC subcarriers into NR guard band since it has no RAN1 specification impact.</w:t>
            </w:r>
          </w:p>
          <w:p w14:paraId="1FC7D606" w14:textId="77777777" w:rsidR="00B31367" w:rsidRPr="00B31367" w:rsidRDefault="00B31367" w:rsidP="00B31367">
            <w:pPr>
              <w:spacing w:after="0" w:line="240" w:lineRule="auto"/>
              <w:ind w:left="720" w:hanging="720"/>
              <w:rPr>
                <w:rFonts w:ascii="Times New Roman" w:eastAsia="Batang" w:hAnsi="Times New Roman" w:cs="Times New Roman"/>
                <w:sz w:val="20"/>
                <w:szCs w:val="24"/>
                <w:lang w:val="en-GB" w:eastAsia="x-none"/>
              </w:rPr>
            </w:pPr>
          </w:p>
          <w:p w14:paraId="506A746D" w14:textId="77777777" w:rsidR="00B31367" w:rsidRPr="00B31367" w:rsidRDefault="00B31367" w:rsidP="00B31367">
            <w:pPr>
              <w:spacing w:after="0" w:line="240" w:lineRule="auto"/>
              <w:ind w:left="720" w:hanging="720"/>
              <w:rPr>
                <w:rFonts w:ascii="Times New Roman" w:eastAsia="Batang" w:hAnsi="Times New Roman" w:cs="Times New Roman"/>
                <w:b/>
                <w:sz w:val="20"/>
                <w:szCs w:val="24"/>
                <w:lang w:val="en-GB" w:eastAsia="x-none"/>
              </w:rPr>
            </w:pPr>
            <w:r w:rsidRPr="00B31367">
              <w:rPr>
                <w:rFonts w:ascii="Times New Roman" w:eastAsia="Batang" w:hAnsi="Times New Roman" w:cs="Times New Roman"/>
                <w:b/>
                <w:sz w:val="20"/>
                <w:szCs w:val="24"/>
                <w:lang w:val="en-GB" w:eastAsia="x-none"/>
              </w:rPr>
              <w:t>Conclusion</w:t>
            </w:r>
          </w:p>
          <w:p w14:paraId="1F01680B" w14:textId="77777777" w:rsidR="00B31367" w:rsidRPr="00B31367" w:rsidRDefault="00B31367" w:rsidP="00690808">
            <w:pPr>
              <w:spacing w:after="0" w:line="240" w:lineRule="auto"/>
              <w:rPr>
                <w:rFonts w:ascii="Times New Roman" w:eastAsia="Times New Roman" w:hAnsi="Times New Roman" w:cs="Times New Roman"/>
                <w:sz w:val="20"/>
                <w:szCs w:val="20"/>
                <w:lang w:val="en-GB"/>
              </w:rPr>
            </w:pPr>
            <w:r w:rsidRPr="00B31367">
              <w:rPr>
                <w:rFonts w:ascii="Times New Roman" w:eastAsia="Times New Roman" w:hAnsi="Times New Roman" w:cs="Times New Roman"/>
                <w:sz w:val="20"/>
                <w:szCs w:val="20"/>
                <w:lang w:val="en-GB"/>
              </w:rPr>
              <w:t>RAN1 concludes that overlap between NR SSB and LTE-MTC can be avoided using the LTE-MTC DL valid subframe bitmap.</w:t>
            </w:r>
          </w:p>
          <w:p w14:paraId="14013DCC" w14:textId="77777777" w:rsidR="00B31367" w:rsidRPr="00B31367" w:rsidRDefault="00B31367" w:rsidP="00B31367">
            <w:pPr>
              <w:spacing w:after="0" w:line="240" w:lineRule="auto"/>
              <w:ind w:left="720" w:hanging="720"/>
              <w:rPr>
                <w:rFonts w:ascii="Times New Roman" w:eastAsia="Batang" w:hAnsi="Times New Roman" w:cs="Times New Roman"/>
                <w:sz w:val="20"/>
                <w:szCs w:val="24"/>
                <w:lang w:val="en-GB"/>
              </w:rPr>
            </w:pPr>
          </w:p>
          <w:p w14:paraId="0EAC7FBF" w14:textId="77777777" w:rsidR="00B31367" w:rsidRPr="00B31367" w:rsidRDefault="00B31367" w:rsidP="00B31367">
            <w:pPr>
              <w:spacing w:after="0" w:line="240" w:lineRule="auto"/>
              <w:ind w:left="720" w:hanging="720"/>
              <w:rPr>
                <w:rFonts w:ascii="Times New Roman" w:eastAsia="Batang" w:hAnsi="Times New Roman" w:cs="Times New Roman"/>
                <w:b/>
                <w:sz w:val="20"/>
                <w:szCs w:val="24"/>
                <w:lang w:val="en-GB" w:eastAsia="x-none"/>
              </w:rPr>
            </w:pPr>
            <w:r w:rsidRPr="00B31367">
              <w:rPr>
                <w:rFonts w:ascii="Times New Roman" w:eastAsia="Batang" w:hAnsi="Times New Roman" w:cs="Times New Roman"/>
                <w:b/>
                <w:sz w:val="20"/>
                <w:szCs w:val="24"/>
                <w:lang w:val="en-GB" w:eastAsia="x-none"/>
              </w:rPr>
              <w:t>For further study until RAN1#97</w:t>
            </w:r>
          </w:p>
          <w:p w14:paraId="0AAD848D" w14:textId="77777777" w:rsidR="00B31367" w:rsidRPr="00B31367" w:rsidRDefault="00B31367" w:rsidP="00027738">
            <w:pPr>
              <w:numPr>
                <w:ilvl w:val="0"/>
                <w:numId w:val="29"/>
              </w:numPr>
              <w:spacing w:after="0" w:line="240" w:lineRule="auto"/>
              <w:rPr>
                <w:rFonts w:ascii="Times New Roman" w:eastAsia="Times New Roman" w:hAnsi="Times New Roman" w:cs="Times New Roman"/>
                <w:sz w:val="20"/>
                <w:szCs w:val="20"/>
                <w:lang w:val="en-GB"/>
              </w:rPr>
            </w:pPr>
            <w:r w:rsidRPr="00B31367">
              <w:rPr>
                <w:rFonts w:ascii="Times New Roman" w:eastAsia="Times New Roman" w:hAnsi="Times New Roman" w:cs="Times New Roman"/>
                <w:sz w:val="20"/>
                <w:szCs w:val="20"/>
                <w:lang w:val="en-GB"/>
              </w:rPr>
              <w:t>RAN1 continues to study finer-granularity LTE-MTC resource reservation until RAN1#97.</w:t>
            </w:r>
          </w:p>
          <w:p w14:paraId="3DC2D79C"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Assume that the LTE-MTC resource reservation should accommodate at least part of NR initial CORESET, NR CSI-RS and NR TRS.</w:t>
            </w:r>
          </w:p>
          <w:p w14:paraId="76D652F6"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eastAsia="zh-CN"/>
              </w:rPr>
              <w:t>The reference case is the existing DL/UL subframe-level LTE-MTC resource reservation.</w:t>
            </w:r>
          </w:p>
          <w:p w14:paraId="173998A9"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eastAsia="ko-KR"/>
              </w:rPr>
            </w:pPr>
            <w:r w:rsidRPr="00B31367">
              <w:rPr>
                <w:rFonts w:ascii="Times New Roman" w:eastAsia="Batang" w:hAnsi="Times New Roman" w:cs="Times New Roman"/>
                <w:sz w:val="20"/>
                <w:szCs w:val="24"/>
                <w:lang w:val="en-GB" w:eastAsia="zh-CN"/>
              </w:rPr>
              <w:t>Assume that the resource reservation is semi-statically configured. It is FFS whether the eNB can furthermore dynamically override or indicate additional reserved resource via DCI.</w:t>
            </w:r>
          </w:p>
          <w:p w14:paraId="17A25773" w14:textId="77777777" w:rsidR="00B31367" w:rsidRPr="00B31367" w:rsidRDefault="00B31367" w:rsidP="00B31367">
            <w:pPr>
              <w:numPr>
                <w:ilvl w:val="2"/>
                <w:numId w:val="29"/>
              </w:numPr>
              <w:spacing w:after="0" w:line="240" w:lineRule="auto"/>
              <w:rPr>
                <w:rFonts w:ascii="Times New Roman" w:eastAsia="Batang" w:hAnsi="Times New Roman" w:cs="Times New Roman"/>
                <w:sz w:val="20"/>
                <w:szCs w:val="24"/>
                <w:lang w:val="en-GB" w:eastAsia="x-none"/>
              </w:rPr>
            </w:pPr>
            <w:r w:rsidRPr="00B31367">
              <w:rPr>
                <w:rFonts w:ascii="Times New Roman" w:eastAsia="Batang" w:hAnsi="Times New Roman" w:cs="Times New Roman"/>
                <w:sz w:val="20"/>
                <w:szCs w:val="24"/>
                <w:lang w:val="en-GB" w:eastAsia="zh-CN"/>
              </w:rPr>
              <w:t>Companies are encouraged to consider the impact on UE complexity for DCI based indication</w:t>
            </w:r>
          </w:p>
          <w:p w14:paraId="4A019844"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Consider whether the time-domain granularity of the LTE-MTC valid subframe configuration should be scaled dependent on the NR subcarrier spacing.</w:t>
            </w:r>
          </w:p>
          <w:p w14:paraId="3A3B391A"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Consider both DL and UL aspects.</w:t>
            </w:r>
          </w:p>
          <w:p w14:paraId="0D0A7077" w14:textId="77777777" w:rsidR="00B31367" w:rsidRPr="00B31367" w:rsidRDefault="00B31367" w:rsidP="00B31367">
            <w:pPr>
              <w:numPr>
                <w:ilvl w:val="2"/>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PDSCH, PUSCH, PUCCH, MPDCCH</w:t>
            </w:r>
          </w:p>
          <w:p w14:paraId="64894CC9" w14:textId="77777777" w:rsidR="00B31367" w:rsidRPr="00B31367" w:rsidRDefault="00B31367" w:rsidP="00B31367">
            <w:pPr>
              <w:numPr>
                <w:ilvl w:val="1"/>
                <w:numId w:val="29"/>
              </w:num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It is FFS whether and when to drop or postpone LTE-MTC transmissions that would fall into LTE-MTC reserved resources (if introduced).</w:t>
            </w:r>
          </w:p>
          <w:p w14:paraId="0253A6C5" w14:textId="77777777" w:rsidR="00B31367" w:rsidRPr="00B31367" w:rsidRDefault="00B31367" w:rsidP="00B31367">
            <w:pPr>
              <w:spacing w:after="0" w:line="240" w:lineRule="auto"/>
              <w:ind w:left="720" w:hanging="720"/>
              <w:rPr>
                <w:rFonts w:ascii="Times New Roman" w:eastAsia="Batang" w:hAnsi="Times New Roman" w:cs="Times New Roman"/>
                <w:sz w:val="20"/>
                <w:szCs w:val="24"/>
                <w:lang w:val="en-GB" w:eastAsia="x-none"/>
              </w:rPr>
            </w:pPr>
          </w:p>
          <w:p w14:paraId="5E318EAF" w14:textId="77777777" w:rsidR="00B31367" w:rsidRPr="00B31367" w:rsidRDefault="00B31367" w:rsidP="00B31367">
            <w:pPr>
              <w:spacing w:after="0" w:line="240" w:lineRule="auto"/>
              <w:ind w:left="720" w:hanging="720"/>
              <w:rPr>
                <w:rFonts w:ascii="Times New Roman" w:eastAsia="Batang" w:hAnsi="Times New Roman" w:cs="Times New Roman"/>
                <w:b/>
                <w:sz w:val="20"/>
                <w:szCs w:val="24"/>
                <w:lang w:val="en-GB" w:eastAsia="x-none"/>
              </w:rPr>
            </w:pPr>
            <w:r w:rsidRPr="00B31367">
              <w:rPr>
                <w:rFonts w:ascii="Times New Roman" w:eastAsia="Batang" w:hAnsi="Times New Roman" w:cs="Times New Roman"/>
                <w:b/>
                <w:sz w:val="20"/>
                <w:szCs w:val="24"/>
                <w:lang w:val="en-GB" w:eastAsia="x-none"/>
              </w:rPr>
              <w:t>Conclusion</w:t>
            </w:r>
          </w:p>
          <w:p w14:paraId="0A0570FC" w14:textId="77777777" w:rsidR="00B31367" w:rsidRDefault="00B31367" w:rsidP="00B31367">
            <w:pPr>
              <w:spacing w:after="0" w:line="240" w:lineRule="auto"/>
              <w:rPr>
                <w:rFonts w:ascii="Times New Roman" w:eastAsia="Batang" w:hAnsi="Times New Roman" w:cs="Times New Roman"/>
                <w:sz w:val="20"/>
                <w:szCs w:val="24"/>
                <w:lang w:val="en-GB"/>
              </w:rPr>
            </w:pPr>
            <w:r w:rsidRPr="00B31367">
              <w:rPr>
                <w:rFonts w:ascii="Times New Roman" w:eastAsia="Batang" w:hAnsi="Times New Roman" w:cs="Times New Roman"/>
                <w:sz w:val="20"/>
                <w:szCs w:val="24"/>
                <w:lang w:val="en-GB"/>
              </w:rPr>
              <w:t xml:space="preserve">No further discussion in RAN1 on </w:t>
            </w:r>
            <w:r w:rsidRPr="00B31367">
              <w:rPr>
                <w:rFonts w:ascii="Times" w:eastAsia="Batang" w:hAnsi="Times" w:cs="Times New Roman"/>
                <w:sz w:val="20"/>
                <w:szCs w:val="24"/>
                <w:lang w:val="en-GB" w:eastAsia="x-none"/>
              </w:rPr>
              <w:t>the</w:t>
            </w:r>
            <w:r w:rsidRPr="00B31367">
              <w:rPr>
                <w:rFonts w:ascii="Times New Roman" w:eastAsia="Batang" w:hAnsi="Times New Roman" w:cs="Times New Roman"/>
                <w:sz w:val="20"/>
                <w:szCs w:val="24"/>
                <w:lang w:val="en-GB"/>
              </w:rPr>
              <w:t xml:space="preserve"> consideration of LTE-MTC transmission outside the legacy LTE system bandwidth in Rel-16.</w:t>
            </w:r>
          </w:p>
          <w:p w14:paraId="2E3BB57B" w14:textId="4E220422" w:rsidR="00653199" w:rsidRPr="00B31367" w:rsidRDefault="00653199" w:rsidP="00B31367">
            <w:pPr>
              <w:spacing w:after="0" w:line="240" w:lineRule="auto"/>
              <w:rPr>
                <w:rFonts w:ascii="Times New Roman" w:eastAsia="Batang" w:hAnsi="Times New Roman" w:cs="Times New Roman"/>
                <w:sz w:val="20"/>
                <w:szCs w:val="24"/>
                <w:lang w:val="en-GB" w:eastAsia="x-none"/>
              </w:rPr>
            </w:pPr>
          </w:p>
        </w:tc>
      </w:tr>
    </w:tbl>
    <w:p w14:paraId="0776600E" w14:textId="77777777" w:rsidR="00AD0CF0" w:rsidRPr="0058242F" w:rsidRDefault="00AD0CF0" w:rsidP="00AD0CF0">
      <w:pPr>
        <w:pStyle w:val="Reference"/>
        <w:numPr>
          <w:ilvl w:val="0"/>
          <w:numId w:val="0"/>
        </w:numPr>
        <w:rPr>
          <w:rFonts w:ascii="Arial" w:hAnsi="Arial" w:cs="Arial"/>
          <w:sz w:val="20"/>
          <w:u w:val="single"/>
        </w:rPr>
      </w:pPr>
    </w:p>
    <w:sectPr w:rsidR="00AD0CF0" w:rsidRPr="0058242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B8D0B" w14:textId="77777777" w:rsidR="003C3F3D" w:rsidRDefault="003C3F3D">
      <w:r>
        <w:separator/>
      </w:r>
    </w:p>
  </w:endnote>
  <w:endnote w:type="continuationSeparator" w:id="0">
    <w:p w14:paraId="04928487" w14:textId="77777777" w:rsidR="003C3F3D" w:rsidRDefault="003C3F3D">
      <w:r>
        <w:continuationSeparator/>
      </w:r>
    </w:p>
  </w:endnote>
  <w:endnote w:type="continuationNotice" w:id="1">
    <w:p w14:paraId="17C37BAC" w14:textId="77777777" w:rsidR="003C3F3D" w:rsidRDefault="003C3F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1E7E478" w:rsidR="00F52361" w:rsidRDefault="00F523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18890" w14:textId="77777777" w:rsidR="003C3F3D" w:rsidRDefault="003C3F3D">
      <w:r>
        <w:separator/>
      </w:r>
    </w:p>
  </w:footnote>
  <w:footnote w:type="continuationSeparator" w:id="0">
    <w:p w14:paraId="63AC1F3F" w14:textId="77777777" w:rsidR="003C3F3D" w:rsidRDefault="003C3F3D">
      <w:r>
        <w:continuationSeparator/>
      </w:r>
    </w:p>
  </w:footnote>
  <w:footnote w:type="continuationNotice" w:id="1">
    <w:p w14:paraId="39C02DA9" w14:textId="77777777" w:rsidR="003C3F3D" w:rsidRDefault="003C3F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F52361" w:rsidRDefault="00F523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88061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ED57F6"/>
    <w:multiLevelType w:val="hybridMultilevel"/>
    <w:tmpl w:val="6CF0AA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E53309"/>
    <w:multiLevelType w:val="hybridMultilevel"/>
    <w:tmpl w:val="57F0FC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0868A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FE15BC9"/>
    <w:multiLevelType w:val="hybridMultilevel"/>
    <w:tmpl w:val="CB04F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3172A"/>
    <w:multiLevelType w:val="hybridMultilevel"/>
    <w:tmpl w:val="AC50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E537C"/>
    <w:multiLevelType w:val="hybridMultilevel"/>
    <w:tmpl w:val="19CC11D8"/>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671E7"/>
    <w:multiLevelType w:val="hybridMultilevel"/>
    <w:tmpl w:val="D764A2FE"/>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191C32"/>
    <w:multiLevelType w:val="hybridMultilevel"/>
    <w:tmpl w:val="4644FA56"/>
    <w:lvl w:ilvl="0" w:tplc="C4F69084">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A07DE"/>
    <w:multiLevelType w:val="hybridMultilevel"/>
    <w:tmpl w:val="D57A2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466E4"/>
    <w:multiLevelType w:val="hybridMultilevel"/>
    <w:tmpl w:val="21227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E037001"/>
    <w:multiLevelType w:val="hybridMultilevel"/>
    <w:tmpl w:val="344E00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545CB"/>
    <w:multiLevelType w:val="hybridMultilevel"/>
    <w:tmpl w:val="FACC12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C0E31"/>
    <w:multiLevelType w:val="hybridMultilevel"/>
    <w:tmpl w:val="8ABAA650"/>
    <w:lvl w:ilvl="0" w:tplc="FCA85B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E6E6993E"/>
    <w:lvl w:ilvl="0" w:tplc="86D8B526">
      <w:start w:val="1"/>
      <w:numFmt w:val="decimal"/>
      <w:pStyle w:val="Proposal"/>
      <w:lvlText w:val="Proposal %1"/>
      <w:lvlJc w:val="left"/>
      <w:pPr>
        <w:tabs>
          <w:tab w:val="num" w:pos="1304"/>
        </w:tabs>
        <w:ind w:left="1304" w:hanging="1304"/>
      </w:pPr>
      <w:rPr>
        <w:rFonts w:asciiTheme="minorBidi" w:hAnsiTheme="minorBidi" w:cstheme="minorBidi"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1E1DF0"/>
    <w:multiLevelType w:val="hybridMultilevel"/>
    <w:tmpl w:val="7E6C55CC"/>
    <w:lvl w:ilvl="0" w:tplc="C49E52CC">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F3388"/>
    <w:multiLevelType w:val="hybridMultilevel"/>
    <w:tmpl w:val="0F9AFAB8"/>
    <w:lvl w:ilvl="0" w:tplc="C4F69084">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A55D3"/>
    <w:multiLevelType w:val="hybridMultilevel"/>
    <w:tmpl w:val="99B06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39396E"/>
    <w:multiLevelType w:val="hybridMultilevel"/>
    <w:tmpl w:val="C76855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741310"/>
    <w:multiLevelType w:val="hybridMultilevel"/>
    <w:tmpl w:val="1EC60AD2"/>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616F8"/>
    <w:multiLevelType w:val="hybridMultilevel"/>
    <w:tmpl w:val="D6C278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87983"/>
    <w:multiLevelType w:val="hybridMultilevel"/>
    <w:tmpl w:val="99BE9720"/>
    <w:lvl w:ilvl="0" w:tplc="2EA8562A">
      <w:start w:val="1"/>
      <w:numFmt w:val="decimal"/>
      <w:lvlText w:val="Observation %1"/>
      <w:lvlJc w:val="left"/>
      <w:pPr>
        <w:tabs>
          <w:tab w:val="num" w:pos="2204"/>
        </w:tabs>
        <w:ind w:left="2204" w:hanging="1304"/>
      </w:pPr>
      <w:rPr>
        <w:rFonts w:asciiTheme="minorBidi" w:hAnsiTheme="minorBidi" w:cstheme="minorBidi" w:hint="default"/>
        <w:b w:val="0"/>
        <w:bCs w:val="0"/>
        <w:sz w:val="22"/>
        <w:szCs w:val="22"/>
        <w:lang w:val="en-US"/>
      </w:rPr>
    </w:lvl>
    <w:lvl w:ilvl="1" w:tplc="04090019">
      <w:start w:val="1"/>
      <w:numFmt w:val="lowerLetter"/>
      <w:lvlText w:val="%2."/>
      <w:lvlJc w:val="left"/>
      <w:pPr>
        <w:tabs>
          <w:tab w:val="num" w:pos="9030"/>
        </w:tabs>
        <w:ind w:left="9030" w:hanging="360"/>
      </w:pPr>
    </w:lvl>
    <w:lvl w:ilvl="2" w:tplc="0409001B">
      <w:start w:val="1"/>
      <w:numFmt w:val="lowerRoman"/>
      <w:lvlText w:val="%3."/>
      <w:lvlJc w:val="right"/>
      <w:pPr>
        <w:tabs>
          <w:tab w:val="num" w:pos="9750"/>
        </w:tabs>
        <w:ind w:left="9750" w:hanging="180"/>
      </w:pPr>
    </w:lvl>
    <w:lvl w:ilvl="3" w:tplc="0409000F" w:tentative="1">
      <w:start w:val="1"/>
      <w:numFmt w:val="decimal"/>
      <w:lvlText w:val="%4."/>
      <w:lvlJc w:val="left"/>
      <w:pPr>
        <w:tabs>
          <w:tab w:val="num" w:pos="10470"/>
        </w:tabs>
        <w:ind w:left="10470" w:hanging="360"/>
      </w:pPr>
    </w:lvl>
    <w:lvl w:ilvl="4" w:tplc="04090019" w:tentative="1">
      <w:start w:val="1"/>
      <w:numFmt w:val="lowerLetter"/>
      <w:lvlText w:val="%5."/>
      <w:lvlJc w:val="left"/>
      <w:pPr>
        <w:tabs>
          <w:tab w:val="num" w:pos="11190"/>
        </w:tabs>
        <w:ind w:left="11190" w:hanging="360"/>
      </w:pPr>
    </w:lvl>
    <w:lvl w:ilvl="5" w:tplc="0409001B" w:tentative="1">
      <w:start w:val="1"/>
      <w:numFmt w:val="lowerRoman"/>
      <w:lvlText w:val="%6."/>
      <w:lvlJc w:val="right"/>
      <w:pPr>
        <w:tabs>
          <w:tab w:val="num" w:pos="11910"/>
        </w:tabs>
        <w:ind w:left="11910" w:hanging="180"/>
      </w:pPr>
    </w:lvl>
    <w:lvl w:ilvl="6" w:tplc="0409000F" w:tentative="1">
      <w:start w:val="1"/>
      <w:numFmt w:val="decimal"/>
      <w:lvlText w:val="%7."/>
      <w:lvlJc w:val="left"/>
      <w:pPr>
        <w:tabs>
          <w:tab w:val="num" w:pos="12630"/>
        </w:tabs>
        <w:ind w:left="12630" w:hanging="360"/>
      </w:pPr>
    </w:lvl>
    <w:lvl w:ilvl="7" w:tplc="04090019" w:tentative="1">
      <w:start w:val="1"/>
      <w:numFmt w:val="lowerLetter"/>
      <w:lvlText w:val="%8."/>
      <w:lvlJc w:val="left"/>
      <w:pPr>
        <w:tabs>
          <w:tab w:val="num" w:pos="13350"/>
        </w:tabs>
        <w:ind w:left="13350" w:hanging="360"/>
      </w:pPr>
    </w:lvl>
    <w:lvl w:ilvl="8" w:tplc="0409001B" w:tentative="1">
      <w:start w:val="1"/>
      <w:numFmt w:val="lowerRoman"/>
      <w:lvlText w:val="%9."/>
      <w:lvlJc w:val="right"/>
      <w:pPr>
        <w:tabs>
          <w:tab w:val="num" w:pos="14070"/>
        </w:tabs>
        <w:ind w:left="14070" w:hanging="180"/>
      </w:pPr>
    </w:lvl>
  </w:abstractNum>
  <w:abstractNum w:abstractNumId="32" w15:restartNumberingAfterBreak="0">
    <w:nsid w:val="66EB1DF8"/>
    <w:multiLevelType w:val="hybridMultilevel"/>
    <w:tmpl w:val="CAFA9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D3AE6"/>
    <w:multiLevelType w:val="hybridMultilevel"/>
    <w:tmpl w:val="438471EA"/>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F5ADD"/>
    <w:multiLevelType w:val="hybridMultilevel"/>
    <w:tmpl w:val="6EF08EF4"/>
    <w:lvl w:ilvl="0" w:tplc="DE2E0AF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E5D5C"/>
    <w:multiLevelType w:val="hybridMultilevel"/>
    <w:tmpl w:val="F9BAD86C"/>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036CC"/>
    <w:multiLevelType w:val="hybridMultilevel"/>
    <w:tmpl w:val="253EFD9A"/>
    <w:lvl w:ilvl="0" w:tplc="C49E52CC">
      <w:numFmt w:val="bullet"/>
      <w:lvlText w:val="-"/>
      <w:lvlJc w:val="left"/>
      <w:pPr>
        <w:ind w:left="1664" w:hanging="360"/>
      </w:pPr>
      <w:rPr>
        <w:rFonts w:ascii="Arial" w:eastAsiaTheme="minorHAnsi" w:hAnsi="Arial" w:cs="Aria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7" w15:restartNumberingAfterBreak="0">
    <w:nsid w:val="71CB484B"/>
    <w:multiLevelType w:val="hybridMultilevel"/>
    <w:tmpl w:val="77F22502"/>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6210A"/>
    <w:multiLevelType w:val="hybridMultilevel"/>
    <w:tmpl w:val="56985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FA06B6"/>
    <w:multiLevelType w:val="hybridMultilevel"/>
    <w:tmpl w:val="699E5470"/>
    <w:lvl w:ilvl="0" w:tplc="C49E52C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6A6739"/>
    <w:multiLevelType w:val="hybridMultilevel"/>
    <w:tmpl w:val="83EA3D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7"/>
  </w:num>
  <w:num w:numId="4">
    <w:abstractNumId w:val="18"/>
  </w:num>
  <w:num w:numId="5">
    <w:abstractNumId w:val="13"/>
  </w:num>
  <w:num w:numId="6">
    <w:abstractNumId w:val="22"/>
  </w:num>
  <w:num w:numId="7">
    <w:abstractNumId w:val="28"/>
  </w:num>
  <w:num w:numId="8">
    <w:abstractNumId w:val="14"/>
  </w:num>
  <w:num w:numId="9">
    <w:abstractNumId w:val="25"/>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31"/>
  </w:num>
  <w:num w:numId="15">
    <w:abstractNumId w:val="36"/>
  </w:num>
  <w:num w:numId="16">
    <w:abstractNumId w:val="6"/>
  </w:num>
  <w:num w:numId="17">
    <w:abstractNumId w:val="16"/>
  </w:num>
  <w:num w:numId="18">
    <w:abstractNumId w:val="3"/>
  </w:num>
  <w:num w:numId="19">
    <w:abstractNumId w:val="17"/>
  </w:num>
  <w:num w:numId="20">
    <w:abstractNumId w:val="17"/>
  </w:num>
  <w:num w:numId="21">
    <w:abstractNumId w:val="1"/>
  </w:num>
  <w:num w:numId="22">
    <w:abstractNumId w:val="40"/>
  </w:num>
  <w:num w:numId="23">
    <w:abstractNumId w:val="12"/>
  </w:num>
  <w:num w:numId="24">
    <w:abstractNumId w:val="11"/>
  </w:num>
  <w:num w:numId="25">
    <w:abstractNumId w:val="26"/>
  </w:num>
  <w:num w:numId="26">
    <w:abstractNumId w:val="41"/>
  </w:num>
  <w:num w:numId="27">
    <w:abstractNumId w:val="29"/>
  </w:num>
  <w:num w:numId="28">
    <w:abstractNumId w:val="2"/>
  </w:num>
  <w:num w:numId="29">
    <w:abstractNumId w:val="42"/>
  </w:num>
  <w:num w:numId="30">
    <w:abstractNumId w:val="30"/>
  </w:num>
  <w:num w:numId="31">
    <w:abstractNumId w:val="15"/>
  </w:num>
  <w:num w:numId="32">
    <w:abstractNumId w:val="8"/>
  </w:num>
  <w:num w:numId="33">
    <w:abstractNumId w:val="34"/>
  </w:num>
  <w:num w:numId="34">
    <w:abstractNumId w:val="35"/>
  </w:num>
  <w:num w:numId="35">
    <w:abstractNumId w:val="37"/>
  </w:num>
  <w:num w:numId="36">
    <w:abstractNumId w:val="19"/>
  </w:num>
  <w:num w:numId="37">
    <w:abstractNumId w:val="27"/>
  </w:num>
  <w:num w:numId="38">
    <w:abstractNumId w:val="7"/>
  </w:num>
  <w:num w:numId="39">
    <w:abstractNumId w:val="10"/>
  </w:num>
  <w:num w:numId="40">
    <w:abstractNumId w:val="23"/>
  </w:num>
  <w:num w:numId="41">
    <w:abstractNumId w:val="38"/>
  </w:num>
  <w:num w:numId="42">
    <w:abstractNumId w:val="4"/>
  </w:num>
  <w:num w:numId="43">
    <w:abstractNumId w:val="32"/>
  </w:num>
  <w:num w:numId="44">
    <w:abstractNumId w:val="5"/>
  </w:num>
  <w:num w:numId="45">
    <w:abstractNumId w:val="33"/>
  </w:num>
  <w:num w:numId="46">
    <w:abstractNumId w:val="39"/>
  </w:num>
  <w:num w:numId="47">
    <w:abstractNumId w:val="43"/>
  </w:num>
  <w:num w:numId="48">
    <w:abstractNumId w:val="9"/>
  </w:num>
  <w:num w:numId="4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s-MX"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0F5"/>
    <w:rsid w:val="000005FC"/>
    <w:rsid w:val="000006E1"/>
    <w:rsid w:val="000007B7"/>
    <w:rsid w:val="00002A37"/>
    <w:rsid w:val="000030BF"/>
    <w:rsid w:val="000034F9"/>
    <w:rsid w:val="000037D6"/>
    <w:rsid w:val="000041FC"/>
    <w:rsid w:val="00004538"/>
    <w:rsid w:val="000062A6"/>
    <w:rsid w:val="00006446"/>
    <w:rsid w:val="00006896"/>
    <w:rsid w:val="00006FC4"/>
    <w:rsid w:val="00007CDC"/>
    <w:rsid w:val="00010074"/>
    <w:rsid w:val="000100E9"/>
    <w:rsid w:val="000101FB"/>
    <w:rsid w:val="000107F7"/>
    <w:rsid w:val="00010A72"/>
    <w:rsid w:val="00011B28"/>
    <w:rsid w:val="00012D32"/>
    <w:rsid w:val="00013659"/>
    <w:rsid w:val="000144D0"/>
    <w:rsid w:val="00014AB9"/>
    <w:rsid w:val="00015D15"/>
    <w:rsid w:val="0001658F"/>
    <w:rsid w:val="00016E78"/>
    <w:rsid w:val="00017A2C"/>
    <w:rsid w:val="0002145C"/>
    <w:rsid w:val="00021E5E"/>
    <w:rsid w:val="00022B45"/>
    <w:rsid w:val="00022C63"/>
    <w:rsid w:val="00022C65"/>
    <w:rsid w:val="00022F38"/>
    <w:rsid w:val="00023068"/>
    <w:rsid w:val="00023C3F"/>
    <w:rsid w:val="00023F1C"/>
    <w:rsid w:val="0002531D"/>
    <w:rsid w:val="0002564D"/>
    <w:rsid w:val="00025ECA"/>
    <w:rsid w:val="00027738"/>
    <w:rsid w:val="000325B8"/>
    <w:rsid w:val="00032EC1"/>
    <w:rsid w:val="00032F7E"/>
    <w:rsid w:val="00033DC5"/>
    <w:rsid w:val="000345B6"/>
    <w:rsid w:val="000347BA"/>
    <w:rsid w:val="00034C15"/>
    <w:rsid w:val="00035582"/>
    <w:rsid w:val="00035808"/>
    <w:rsid w:val="00036BA1"/>
    <w:rsid w:val="00036D0A"/>
    <w:rsid w:val="00036E03"/>
    <w:rsid w:val="00041DF6"/>
    <w:rsid w:val="000422E2"/>
    <w:rsid w:val="0004273A"/>
    <w:rsid w:val="00042887"/>
    <w:rsid w:val="00042897"/>
    <w:rsid w:val="00042F22"/>
    <w:rsid w:val="000444EF"/>
    <w:rsid w:val="00044A3F"/>
    <w:rsid w:val="00045C7F"/>
    <w:rsid w:val="00045EFE"/>
    <w:rsid w:val="000463C6"/>
    <w:rsid w:val="00046871"/>
    <w:rsid w:val="00047FAD"/>
    <w:rsid w:val="00050080"/>
    <w:rsid w:val="00051C11"/>
    <w:rsid w:val="00052A07"/>
    <w:rsid w:val="000534E3"/>
    <w:rsid w:val="00055405"/>
    <w:rsid w:val="00055FDE"/>
    <w:rsid w:val="0005606A"/>
    <w:rsid w:val="00057117"/>
    <w:rsid w:val="00057F55"/>
    <w:rsid w:val="00060193"/>
    <w:rsid w:val="00060FF1"/>
    <w:rsid w:val="00061358"/>
    <w:rsid w:val="000616E7"/>
    <w:rsid w:val="00061E4D"/>
    <w:rsid w:val="0006487E"/>
    <w:rsid w:val="00064C19"/>
    <w:rsid w:val="00065482"/>
    <w:rsid w:val="00065CFA"/>
    <w:rsid w:val="00065E1A"/>
    <w:rsid w:val="00065E24"/>
    <w:rsid w:val="00066EC3"/>
    <w:rsid w:val="000677FF"/>
    <w:rsid w:val="00071676"/>
    <w:rsid w:val="0007269A"/>
    <w:rsid w:val="00072710"/>
    <w:rsid w:val="00072E50"/>
    <w:rsid w:val="00074156"/>
    <w:rsid w:val="00074475"/>
    <w:rsid w:val="00074780"/>
    <w:rsid w:val="000753A1"/>
    <w:rsid w:val="00077B3B"/>
    <w:rsid w:val="00077E5F"/>
    <w:rsid w:val="0008036A"/>
    <w:rsid w:val="00080C78"/>
    <w:rsid w:val="000810A0"/>
    <w:rsid w:val="000813B5"/>
    <w:rsid w:val="000816D5"/>
    <w:rsid w:val="00081AE6"/>
    <w:rsid w:val="000827C3"/>
    <w:rsid w:val="00082BC1"/>
    <w:rsid w:val="00082D23"/>
    <w:rsid w:val="00083273"/>
    <w:rsid w:val="00084039"/>
    <w:rsid w:val="000848D7"/>
    <w:rsid w:val="00084CD8"/>
    <w:rsid w:val="0008530C"/>
    <w:rsid w:val="000855EB"/>
    <w:rsid w:val="00085920"/>
    <w:rsid w:val="00085B52"/>
    <w:rsid w:val="000866F2"/>
    <w:rsid w:val="0008695D"/>
    <w:rsid w:val="0009009F"/>
    <w:rsid w:val="00090D3A"/>
    <w:rsid w:val="00091557"/>
    <w:rsid w:val="00091B03"/>
    <w:rsid w:val="00091BB2"/>
    <w:rsid w:val="00091CD4"/>
    <w:rsid w:val="0009234C"/>
    <w:rsid w:val="000924C1"/>
    <w:rsid w:val="000924F0"/>
    <w:rsid w:val="0009335A"/>
    <w:rsid w:val="00093474"/>
    <w:rsid w:val="000937A5"/>
    <w:rsid w:val="00094903"/>
    <w:rsid w:val="00094CC7"/>
    <w:rsid w:val="0009510F"/>
    <w:rsid w:val="0009583E"/>
    <w:rsid w:val="0009622C"/>
    <w:rsid w:val="00096352"/>
    <w:rsid w:val="00096EE0"/>
    <w:rsid w:val="00097077"/>
    <w:rsid w:val="000976E0"/>
    <w:rsid w:val="000A1303"/>
    <w:rsid w:val="000A1925"/>
    <w:rsid w:val="000A1B7B"/>
    <w:rsid w:val="000A2EB2"/>
    <w:rsid w:val="000A2F84"/>
    <w:rsid w:val="000A3C1B"/>
    <w:rsid w:val="000A45FC"/>
    <w:rsid w:val="000A4D8A"/>
    <w:rsid w:val="000A4F6F"/>
    <w:rsid w:val="000A52A3"/>
    <w:rsid w:val="000A52DC"/>
    <w:rsid w:val="000A56F2"/>
    <w:rsid w:val="000A6292"/>
    <w:rsid w:val="000A6EC4"/>
    <w:rsid w:val="000A720F"/>
    <w:rsid w:val="000A733D"/>
    <w:rsid w:val="000A7E5A"/>
    <w:rsid w:val="000B0AB7"/>
    <w:rsid w:val="000B0D32"/>
    <w:rsid w:val="000B18A0"/>
    <w:rsid w:val="000B1C13"/>
    <w:rsid w:val="000B1D85"/>
    <w:rsid w:val="000B2719"/>
    <w:rsid w:val="000B32BA"/>
    <w:rsid w:val="000B395C"/>
    <w:rsid w:val="000B3A8F"/>
    <w:rsid w:val="000B3B70"/>
    <w:rsid w:val="000B4A13"/>
    <w:rsid w:val="000B4AB9"/>
    <w:rsid w:val="000B58C3"/>
    <w:rsid w:val="000B5A30"/>
    <w:rsid w:val="000B61E9"/>
    <w:rsid w:val="000B62F0"/>
    <w:rsid w:val="000B6D59"/>
    <w:rsid w:val="000C165A"/>
    <w:rsid w:val="000C2C31"/>
    <w:rsid w:val="000C2E19"/>
    <w:rsid w:val="000C4131"/>
    <w:rsid w:val="000C64A0"/>
    <w:rsid w:val="000C697B"/>
    <w:rsid w:val="000D040A"/>
    <w:rsid w:val="000D0576"/>
    <w:rsid w:val="000D0D07"/>
    <w:rsid w:val="000D10A1"/>
    <w:rsid w:val="000D2B45"/>
    <w:rsid w:val="000D4797"/>
    <w:rsid w:val="000D4D99"/>
    <w:rsid w:val="000D5343"/>
    <w:rsid w:val="000D58DA"/>
    <w:rsid w:val="000D5AA7"/>
    <w:rsid w:val="000D5E14"/>
    <w:rsid w:val="000D5F64"/>
    <w:rsid w:val="000D65EF"/>
    <w:rsid w:val="000D6655"/>
    <w:rsid w:val="000D7C97"/>
    <w:rsid w:val="000D7EF5"/>
    <w:rsid w:val="000D7F82"/>
    <w:rsid w:val="000E0527"/>
    <w:rsid w:val="000E0D16"/>
    <w:rsid w:val="000E1E92"/>
    <w:rsid w:val="000E2052"/>
    <w:rsid w:val="000E2ADC"/>
    <w:rsid w:val="000E34A4"/>
    <w:rsid w:val="000E42B6"/>
    <w:rsid w:val="000E5556"/>
    <w:rsid w:val="000E6213"/>
    <w:rsid w:val="000F060F"/>
    <w:rsid w:val="000F06D6"/>
    <w:rsid w:val="000F0AB1"/>
    <w:rsid w:val="000F0CA7"/>
    <w:rsid w:val="000F0EB1"/>
    <w:rsid w:val="000F1106"/>
    <w:rsid w:val="000F2B8F"/>
    <w:rsid w:val="000F3733"/>
    <w:rsid w:val="000F3BE9"/>
    <w:rsid w:val="000F3F6C"/>
    <w:rsid w:val="000F4C5F"/>
    <w:rsid w:val="000F581F"/>
    <w:rsid w:val="000F6DF3"/>
    <w:rsid w:val="000F6EDD"/>
    <w:rsid w:val="000F6FF4"/>
    <w:rsid w:val="000F7A1A"/>
    <w:rsid w:val="00100084"/>
    <w:rsid w:val="0010045B"/>
    <w:rsid w:val="001005FF"/>
    <w:rsid w:val="00100E9F"/>
    <w:rsid w:val="00103327"/>
    <w:rsid w:val="00104164"/>
    <w:rsid w:val="001062FB"/>
    <w:rsid w:val="001063E6"/>
    <w:rsid w:val="001067D4"/>
    <w:rsid w:val="00106BCB"/>
    <w:rsid w:val="00106CC4"/>
    <w:rsid w:val="00106D49"/>
    <w:rsid w:val="00107597"/>
    <w:rsid w:val="00107A3F"/>
    <w:rsid w:val="00107FD8"/>
    <w:rsid w:val="00110A2C"/>
    <w:rsid w:val="0011379B"/>
    <w:rsid w:val="00113CF4"/>
    <w:rsid w:val="0011407E"/>
    <w:rsid w:val="001149A7"/>
    <w:rsid w:val="00115098"/>
    <w:rsid w:val="001153EA"/>
    <w:rsid w:val="00115643"/>
    <w:rsid w:val="00115D15"/>
    <w:rsid w:val="00116765"/>
    <w:rsid w:val="00116D05"/>
    <w:rsid w:val="00120580"/>
    <w:rsid w:val="00121049"/>
    <w:rsid w:val="001219F5"/>
    <w:rsid w:val="00121A20"/>
    <w:rsid w:val="00122AFF"/>
    <w:rsid w:val="00122FC2"/>
    <w:rsid w:val="00123136"/>
    <w:rsid w:val="0012377F"/>
    <w:rsid w:val="001237AD"/>
    <w:rsid w:val="00123EB3"/>
    <w:rsid w:val="00124314"/>
    <w:rsid w:val="0012655A"/>
    <w:rsid w:val="00126B4A"/>
    <w:rsid w:val="00127299"/>
    <w:rsid w:val="00127D55"/>
    <w:rsid w:val="00127E3A"/>
    <w:rsid w:val="00127EA8"/>
    <w:rsid w:val="001306C7"/>
    <w:rsid w:val="00130CC6"/>
    <w:rsid w:val="0013138E"/>
    <w:rsid w:val="0013229D"/>
    <w:rsid w:val="00132626"/>
    <w:rsid w:val="00132FD0"/>
    <w:rsid w:val="001344C0"/>
    <w:rsid w:val="001346FA"/>
    <w:rsid w:val="00135252"/>
    <w:rsid w:val="0013639F"/>
    <w:rsid w:val="00136EDE"/>
    <w:rsid w:val="00137AB5"/>
    <w:rsid w:val="00137F0B"/>
    <w:rsid w:val="0014034A"/>
    <w:rsid w:val="00140BAC"/>
    <w:rsid w:val="00141B8E"/>
    <w:rsid w:val="00141EF6"/>
    <w:rsid w:val="00141F12"/>
    <w:rsid w:val="00141FB7"/>
    <w:rsid w:val="00143529"/>
    <w:rsid w:val="00144707"/>
    <w:rsid w:val="00145B21"/>
    <w:rsid w:val="00147730"/>
    <w:rsid w:val="00147735"/>
    <w:rsid w:val="00147B0C"/>
    <w:rsid w:val="00150516"/>
    <w:rsid w:val="00150D17"/>
    <w:rsid w:val="00150FBA"/>
    <w:rsid w:val="0015153C"/>
    <w:rsid w:val="00151D76"/>
    <w:rsid w:val="00151E10"/>
    <w:rsid w:val="00151E23"/>
    <w:rsid w:val="001521A7"/>
    <w:rsid w:val="00152478"/>
    <w:rsid w:val="001526E0"/>
    <w:rsid w:val="00153AE0"/>
    <w:rsid w:val="00154079"/>
    <w:rsid w:val="00154B9F"/>
    <w:rsid w:val="001551B5"/>
    <w:rsid w:val="00155633"/>
    <w:rsid w:val="00155CCD"/>
    <w:rsid w:val="0015719E"/>
    <w:rsid w:val="0015763F"/>
    <w:rsid w:val="00160F44"/>
    <w:rsid w:val="001627F3"/>
    <w:rsid w:val="00164EE9"/>
    <w:rsid w:val="0016521B"/>
    <w:rsid w:val="0016585E"/>
    <w:rsid w:val="001659C1"/>
    <w:rsid w:val="00165C57"/>
    <w:rsid w:val="00167219"/>
    <w:rsid w:val="00167308"/>
    <w:rsid w:val="001673D6"/>
    <w:rsid w:val="0017055A"/>
    <w:rsid w:val="00170B24"/>
    <w:rsid w:val="00170ECD"/>
    <w:rsid w:val="00172679"/>
    <w:rsid w:val="00173197"/>
    <w:rsid w:val="00173563"/>
    <w:rsid w:val="00173A8E"/>
    <w:rsid w:val="00175895"/>
    <w:rsid w:val="00175ADA"/>
    <w:rsid w:val="00175E87"/>
    <w:rsid w:val="001772FD"/>
    <w:rsid w:val="00177795"/>
    <w:rsid w:val="00180206"/>
    <w:rsid w:val="00180F5C"/>
    <w:rsid w:val="0018107B"/>
    <w:rsid w:val="0018143F"/>
    <w:rsid w:val="00181C27"/>
    <w:rsid w:val="00181D2B"/>
    <w:rsid w:val="001828A7"/>
    <w:rsid w:val="00182F1C"/>
    <w:rsid w:val="00183297"/>
    <w:rsid w:val="00183850"/>
    <w:rsid w:val="00184233"/>
    <w:rsid w:val="00185100"/>
    <w:rsid w:val="00186C84"/>
    <w:rsid w:val="00186D0B"/>
    <w:rsid w:val="00187261"/>
    <w:rsid w:val="001874F8"/>
    <w:rsid w:val="001875F8"/>
    <w:rsid w:val="00190753"/>
    <w:rsid w:val="00190AC1"/>
    <w:rsid w:val="00191E52"/>
    <w:rsid w:val="001920E0"/>
    <w:rsid w:val="001928FE"/>
    <w:rsid w:val="0019341A"/>
    <w:rsid w:val="00193690"/>
    <w:rsid w:val="00193C18"/>
    <w:rsid w:val="00194110"/>
    <w:rsid w:val="00194315"/>
    <w:rsid w:val="00194605"/>
    <w:rsid w:val="001952ED"/>
    <w:rsid w:val="00195DFB"/>
    <w:rsid w:val="00195EC0"/>
    <w:rsid w:val="001961E4"/>
    <w:rsid w:val="00196EEF"/>
    <w:rsid w:val="00197DF9"/>
    <w:rsid w:val="001A0286"/>
    <w:rsid w:val="001A0882"/>
    <w:rsid w:val="001A0E40"/>
    <w:rsid w:val="001A0F7B"/>
    <w:rsid w:val="001A1987"/>
    <w:rsid w:val="001A1B37"/>
    <w:rsid w:val="001A2564"/>
    <w:rsid w:val="001A2567"/>
    <w:rsid w:val="001A34AC"/>
    <w:rsid w:val="001A39A0"/>
    <w:rsid w:val="001A3C32"/>
    <w:rsid w:val="001A47D9"/>
    <w:rsid w:val="001A6173"/>
    <w:rsid w:val="001A6CBA"/>
    <w:rsid w:val="001A78DD"/>
    <w:rsid w:val="001A7AE9"/>
    <w:rsid w:val="001A7FCF"/>
    <w:rsid w:val="001B0B4F"/>
    <w:rsid w:val="001B0D97"/>
    <w:rsid w:val="001B1861"/>
    <w:rsid w:val="001B199A"/>
    <w:rsid w:val="001B2FDF"/>
    <w:rsid w:val="001B3256"/>
    <w:rsid w:val="001B4CF0"/>
    <w:rsid w:val="001B504C"/>
    <w:rsid w:val="001B53C4"/>
    <w:rsid w:val="001B5A5D"/>
    <w:rsid w:val="001B5BE9"/>
    <w:rsid w:val="001B5E4F"/>
    <w:rsid w:val="001B5EF1"/>
    <w:rsid w:val="001C02CF"/>
    <w:rsid w:val="001C1CE5"/>
    <w:rsid w:val="001C3B75"/>
    <w:rsid w:val="001C3D2A"/>
    <w:rsid w:val="001C519D"/>
    <w:rsid w:val="001C5A6B"/>
    <w:rsid w:val="001D06D5"/>
    <w:rsid w:val="001D13D8"/>
    <w:rsid w:val="001D1BCD"/>
    <w:rsid w:val="001D20A2"/>
    <w:rsid w:val="001D216C"/>
    <w:rsid w:val="001D4BE4"/>
    <w:rsid w:val="001D51BA"/>
    <w:rsid w:val="001D59EA"/>
    <w:rsid w:val="001D5B76"/>
    <w:rsid w:val="001D5E24"/>
    <w:rsid w:val="001D6342"/>
    <w:rsid w:val="001D6437"/>
    <w:rsid w:val="001D6D53"/>
    <w:rsid w:val="001D6E86"/>
    <w:rsid w:val="001D798B"/>
    <w:rsid w:val="001D7FFE"/>
    <w:rsid w:val="001E076F"/>
    <w:rsid w:val="001E123A"/>
    <w:rsid w:val="001E1AB1"/>
    <w:rsid w:val="001E2198"/>
    <w:rsid w:val="001E2713"/>
    <w:rsid w:val="001E2DAB"/>
    <w:rsid w:val="001E32F6"/>
    <w:rsid w:val="001E4152"/>
    <w:rsid w:val="001E58E2"/>
    <w:rsid w:val="001E68CD"/>
    <w:rsid w:val="001E7AED"/>
    <w:rsid w:val="001E7CD5"/>
    <w:rsid w:val="001E7E77"/>
    <w:rsid w:val="001F0588"/>
    <w:rsid w:val="001F0DDF"/>
    <w:rsid w:val="001F1151"/>
    <w:rsid w:val="001F13C2"/>
    <w:rsid w:val="001F1DE5"/>
    <w:rsid w:val="001F3916"/>
    <w:rsid w:val="001F3A21"/>
    <w:rsid w:val="001F3F0F"/>
    <w:rsid w:val="001F3F7B"/>
    <w:rsid w:val="001F54C5"/>
    <w:rsid w:val="001F6556"/>
    <w:rsid w:val="001F662C"/>
    <w:rsid w:val="001F7074"/>
    <w:rsid w:val="00200490"/>
    <w:rsid w:val="00200A1C"/>
    <w:rsid w:val="002013BC"/>
    <w:rsid w:val="00201BF4"/>
    <w:rsid w:val="00201F3A"/>
    <w:rsid w:val="00201FD7"/>
    <w:rsid w:val="0020276C"/>
    <w:rsid w:val="002030DB"/>
    <w:rsid w:val="0020374B"/>
    <w:rsid w:val="00203F96"/>
    <w:rsid w:val="0020416D"/>
    <w:rsid w:val="0020466A"/>
    <w:rsid w:val="002069B2"/>
    <w:rsid w:val="00207FA3"/>
    <w:rsid w:val="00210216"/>
    <w:rsid w:val="0021023C"/>
    <w:rsid w:val="002108D0"/>
    <w:rsid w:val="00211089"/>
    <w:rsid w:val="002110EB"/>
    <w:rsid w:val="00211346"/>
    <w:rsid w:val="002115C0"/>
    <w:rsid w:val="00211B51"/>
    <w:rsid w:val="0021217E"/>
    <w:rsid w:val="00213EF0"/>
    <w:rsid w:val="00213F8A"/>
    <w:rsid w:val="00214DA8"/>
    <w:rsid w:val="00215423"/>
    <w:rsid w:val="002158FA"/>
    <w:rsid w:val="00215EB9"/>
    <w:rsid w:val="002166C0"/>
    <w:rsid w:val="00220600"/>
    <w:rsid w:val="00220C70"/>
    <w:rsid w:val="002224DB"/>
    <w:rsid w:val="00222522"/>
    <w:rsid w:val="00223FCB"/>
    <w:rsid w:val="0022420C"/>
    <w:rsid w:val="00224CB1"/>
    <w:rsid w:val="00225266"/>
    <w:rsid w:val="002252C3"/>
    <w:rsid w:val="00225C54"/>
    <w:rsid w:val="002269DD"/>
    <w:rsid w:val="002273B0"/>
    <w:rsid w:val="00227F7F"/>
    <w:rsid w:val="00230765"/>
    <w:rsid w:val="002319E4"/>
    <w:rsid w:val="00231D45"/>
    <w:rsid w:val="00232B73"/>
    <w:rsid w:val="00233362"/>
    <w:rsid w:val="00234030"/>
    <w:rsid w:val="00234CAA"/>
    <w:rsid w:val="00235632"/>
    <w:rsid w:val="00235872"/>
    <w:rsid w:val="00235B91"/>
    <w:rsid w:val="00236675"/>
    <w:rsid w:val="00236729"/>
    <w:rsid w:val="002367C1"/>
    <w:rsid w:val="00237F02"/>
    <w:rsid w:val="00240389"/>
    <w:rsid w:val="002408F3"/>
    <w:rsid w:val="00240BD0"/>
    <w:rsid w:val="00240D7A"/>
    <w:rsid w:val="00241052"/>
    <w:rsid w:val="00241559"/>
    <w:rsid w:val="0024199E"/>
    <w:rsid w:val="00241E01"/>
    <w:rsid w:val="00242BA6"/>
    <w:rsid w:val="00242DBE"/>
    <w:rsid w:val="00243258"/>
    <w:rsid w:val="002432B9"/>
    <w:rsid w:val="002435B3"/>
    <w:rsid w:val="00244277"/>
    <w:rsid w:val="0024454D"/>
    <w:rsid w:val="00244760"/>
    <w:rsid w:val="002458EB"/>
    <w:rsid w:val="00245BEF"/>
    <w:rsid w:val="00246EF1"/>
    <w:rsid w:val="00247094"/>
    <w:rsid w:val="002500C8"/>
    <w:rsid w:val="0025240A"/>
    <w:rsid w:val="002536F8"/>
    <w:rsid w:val="002537BD"/>
    <w:rsid w:val="00253A8D"/>
    <w:rsid w:val="00254195"/>
    <w:rsid w:val="0025579D"/>
    <w:rsid w:val="00255CCE"/>
    <w:rsid w:val="00256255"/>
    <w:rsid w:val="002563B4"/>
    <w:rsid w:val="002567DE"/>
    <w:rsid w:val="002569B3"/>
    <w:rsid w:val="00256A85"/>
    <w:rsid w:val="002574DE"/>
    <w:rsid w:val="00257543"/>
    <w:rsid w:val="00257F8B"/>
    <w:rsid w:val="0026048B"/>
    <w:rsid w:val="00260A44"/>
    <w:rsid w:val="002617C8"/>
    <w:rsid w:val="002617E7"/>
    <w:rsid w:val="00261D1E"/>
    <w:rsid w:val="0026312F"/>
    <w:rsid w:val="00263A25"/>
    <w:rsid w:val="00263DF3"/>
    <w:rsid w:val="00264228"/>
    <w:rsid w:val="00264334"/>
    <w:rsid w:val="0026473E"/>
    <w:rsid w:val="00264DC2"/>
    <w:rsid w:val="00265A71"/>
    <w:rsid w:val="00265BDB"/>
    <w:rsid w:val="00266214"/>
    <w:rsid w:val="00266545"/>
    <w:rsid w:val="00266A8B"/>
    <w:rsid w:val="00267773"/>
    <w:rsid w:val="00267C83"/>
    <w:rsid w:val="002709EC"/>
    <w:rsid w:val="00270DEF"/>
    <w:rsid w:val="002712A9"/>
    <w:rsid w:val="0027144F"/>
    <w:rsid w:val="002715D4"/>
    <w:rsid w:val="0027166F"/>
    <w:rsid w:val="00271F3A"/>
    <w:rsid w:val="0027292E"/>
    <w:rsid w:val="00273278"/>
    <w:rsid w:val="002737F4"/>
    <w:rsid w:val="0027421E"/>
    <w:rsid w:val="002743D8"/>
    <w:rsid w:val="00274D9C"/>
    <w:rsid w:val="0027713B"/>
    <w:rsid w:val="002805F5"/>
    <w:rsid w:val="00280751"/>
    <w:rsid w:val="002808F0"/>
    <w:rsid w:val="00280E68"/>
    <w:rsid w:val="00281428"/>
    <w:rsid w:val="0028280A"/>
    <w:rsid w:val="0028473A"/>
    <w:rsid w:val="00285090"/>
    <w:rsid w:val="002857B5"/>
    <w:rsid w:val="00286963"/>
    <w:rsid w:val="00286ACD"/>
    <w:rsid w:val="00287838"/>
    <w:rsid w:val="002907B5"/>
    <w:rsid w:val="00290B71"/>
    <w:rsid w:val="0029261B"/>
    <w:rsid w:val="00292EB7"/>
    <w:rsid w:val="0029303B"/>
    <w:rsid w:val="002946A6"/>
    <w:rsid w:val="00296227"/>
    <w:rsid w:val="00296F44"/>
    <w:rsid w:val="0029766D"/>
    <w:rsid w:val="0029777D"/>
    <w:rsid w:val="00297D90"/>
    <w:rsid w:val="00297DA3"/>
    <w:rsid w:val="002A055E"/>
    <w:rsid w:val="002A11F2"/>
    <w:rsid w:val="002A1D4E"/>
    <w:rsid w:val="002A2869"/>
    <w:rsid w:val="002A2E5A"/>
    <w:rsid w:val="002A4765"/>
    <w:rsid w:val="002A4ED2"/>
    <w:rsid w:val="002A52DB"/>
    <w:rsid w:val="002A5552"/>
    <w:rsid w:val="002A6C74"/>
    <w:rsid w:val="002A718F"/>
    <w:rsid w:val="002B0F8E"/>
    <w:rsid w:val="002B123D"/>
    <w:rsid w:val="002B17B0"/>
    <w:rsid w:val="002B1D6F"/>
    <w:rsid w:val="002B24D6"/>
    <w:rsid w:val="002B53B3"/>
    <w:rsid w:val="002B6AF1"/>
    <w:rsid w:val="002B74E2"/>
    <w:rsid w:val="002C047E"/>
    <w:rsid w:val="002C0B34"/>
    <w:rsid w:val="002C1291"/>
    <w:rsid w:val="002C1306"/>
    <w:rsid w:val="002C1520"/>
    <w:rsid w:val="002C1687"/>
    <w:rsid w:val="002C185A"/>
    <w:rsid w:val="002C19C4"/>
    <w:rsid w:val="002C3C43"/>
    <w:rsid w:val="002C41E6"/>
    <w:rsid w:val="002C4297"/>
    <w:rsid w:val="002C442F"/>
    <w:rsid w:val="002C4715"/>
    <w:rsid w:val="002C4965"/>
    <w:rsid w:val="002C5BA4"/>
    <w:rsid w:val="002C6937"/>
    <w:rsid w:val="002D0676"/>
    <w:rsid w:val="002D071A"/>
    <w:rsid w:val="002D0A21"/>
    <w:rsid w:val="002D117D"/>
    <w:rsid w:val="002D164E"/>
    <w:rsid w:val="002D2A60"/>
    <w:rsid w:val="002D34B2"/>
    <w:rsid w:val="002D61BE"/>
    <w:rsid w:val="002D64DE"/>
    <w:rsid w:val="002D678F"/>
    <w:rsid w:val="002D7348"/>
    <w:rsid w:val="002D7602"/>
    <w:rsid w:val="002D7637"/>
    <w:rsid w:val="002E138F"/>
    <w:rsid w:val="002E17F2"/>
    <w:rsid w:val="002E225F"/>
    <w:rsid w:val="002E22F2"/>
    <w:rsid w:val="002E26D3"/>
    <w:rsid w:val="002E26F4"/>
    <w:rsid w:val="002E34FD"/>
    <w:rsid w:val="002E3B84"/>
    <w:rsid w:val="002E4FBD"/>
    <w:rsid w:val="002E58FC"/>
    <w:rsid w:val="002E5DEC"/>
    <w:rsid w:val="002E6F18"/>
    <w:rsid w:val="002E6FAA"/>
    <w:rsid w:val="002E7CAE"/>
    <w:rsid w:val="002F0D17"/>
    <w:rsid w:val="002F1105"/>
    <w:rsid w:val="002F1F26"/>
    <w:rsid w:val="002F208C"/>
    <w:rsid w:val="002F2474"/>
    <w:rsid w:val="002F2771"/>
    <w:rsid w:val="002F37A9"/>
    <w:rsid w:val="002F37DD"/>
    <w:rsid w:val="002F39F8"/>
    <w:rsid w:val="002F483A"/>
    <w:rsid w:val="002F724F"/>
    <w:rsid w:val="002F7264"/>
    <w:rsid w:val="002F745C"/>
    <w:rsid w:val="002F7A65"/>
    <w:rsid w:val="003003A0"/>
    <w:rsid w:val="00300466"/>
    <w:rsid w:val="00300B3E"/>
    <w:rsid w:val="00300E98"/>
    <w:rsid w:val="00301AA1"/>
    <w:rsid w:val="00301CE6"/>
    <w:rsid w:val="0030246F"/>
    <w:rsid w:val="0030256B"/>
    <w:rsid w:val="00302F50"/>
    <w:rsid w:val="0030429B"/>
    <w:rsid w:val="0030501F"/>
    <w:rsid w:val="00305BB2"/>
    <w:rsid w:val="00306679"/>
    <w:rsid w:val="00306E79"/>
    <w:rsid w:val="00307BA1"/>
    <w:rsid w:val="00310AC9"/>
    <w:rsid w:val="003113F8"/>
    <w:rsid w:val="00311702"/>
    <w:rsid w:val="0031181A"/>
    <w:rsid w:val="003118EB"/>
    <w:rsid w:val="00311C0E"/>
    <w:rsid w:val="00311CF4"/>
    <w:rsid w:val="00311E82"/>
    <w:rsid w:val="00312DFA"/>
    <w:rsid w:val="003132EE"/>
    <w:rsid w:val="00313FD6"/>
    <w:rsid w:val="003143BD"/>
    <w:rsid w:val="00314F13"/>
    <w:rsid w:val="00316EB1"/>
    <w:rsid w:val="0031713E"/>
    <w:rsid w:val="003174F1"/>
    <w:rsid w:val="0031795A"/>
    <w:rsid w:val="003203ED"/>
    <w:rsid w:val="00321537"/>
    <w:rsid w:val="00321FA9"/>
    <w:rsid w:val="00321FE3"/>
    <w:rsid w:val="00322C9F"/>
    <w:rsid w:val="00323E38"/>
    <w:rsid w:val="00324857"/>
    <w:rsid w:val="00324D23"/>
    <w:rsid w:val="00324E94"/>
    <w:rsid w:val="003260FD"/>
    <w:rsid w:val="00326408"/>
    <w:rsid w:val="0032652A"/>
    <w:rsid w:val="00326AD9"/>
    <w:rsid w:val="00326F9C"/>
    <w:rsid w:val="003276E7"/>
    <w:rsid w:val="00327D79"/>
    <w:rsid w:val="003300EF"/>
    <w:rsid w:val="00331751"/>
    <w:rsid w:val="00332F8C"/>
    <w:rsid w:val="0033340B"/>
    <w:rsid w:val="00333854"/>
    <w:rsid w:val="0033393B"/>
    <w:rsid w:val="00333950"/>
    <w:rsid w:val="00334579"/>
    <w:rsid w:val="00334988"/>
    <w:rsid w:val="00334BA8"/>
    <w:rsid w:val="00335858"/>
    <w:rsid w:val="00336BDA"/>
    <w:rsid w:val="00336C6A"/>
    <w:rsid w:val="00337037"/>
    <w:rsid w:val="0033785B"/>
    <w:rsid w:val="003417D5"/>
    <w:rsid w:val="00341DD9"/>
    <w:rsid w:val="00342ABD"/>
    <w:rsid w:val="00342BD7"/>
    <w:rsid w:val="00342E20"/>
    <w:rsid w:val="0034316C"/>
    <w:rsid w:val="003439E3"/>
    <w:rsid w:val="00343A07"/>
    <w:rsid w:val="0034504D"/>
    <w:rsid w:val="00345063"/>
    <w:rsid w:val="00346C80"/>
    <w:rsid w:val="00346DB5"/>
    <w:rsid w:val="0034748B"/>
    <w:rsid w:val="003477B1"/>
    <w:rsid w:val="00347826"/>
    <w:rsid w:val="00347F8B"/>
    <w:rsid w:val="00350F18"/>
    <w:rsid w:val="003513ED"/>
    <w:rsid w:val="003524F9"/>
    <w:rsid w:val="0035419E"/>
    <w:rsid w:val="0035465A"/>
    <w:rsid w:val="00355502"/>
    <w:rsid w:val="00355BD5"/>
    <w:rsid w:val="0035626E"/>
    <w:rsid w:val="00357380"/>
    <w:rsid w:val="00357E61"/>
    <w:rsid w:val="003602D9"/>
    <w:rsid w:val="0036031D"/>
    <w:rsid w:val="003604CE"/>
    <w:rsid w:val="00360B28"/>
    <w:rsid w:val="00360C85"/>
    <w:rsid w:val="003616EE"/>
    <w:rsid w:val="0036270B"/>
    <w:rsid w:val="00364032"/>
    <w:rsid w:val="00364D8A"/>
    <w:rsid w:val="003664D0"/>
    <w:rsid w:val="0036774F"/>
    <w:rsid w:val="00370E47"/>
    <w:rsid w:val="00371A33"/>
    <w:rsid w:val="00371DF8"/>
    <w:rsid w:val="003721E5"/>
    <w:rsid w:val="00372F41"/>
    <w:rsid w:val="00373131"/>
    <w:rsid w:val="003741AA"/>
    <w:rsid w:val="003742AC"/>
    <w:rsid w:val="00375A1A"/>
    <w:rsid w:val="003767D5"/>
    <w:rsid w:val="003768F7"/>
    <w:rsid w:val="003768FE"/>
    <w:rsid w:val="00377A90"/>
    <w:rsid w:val="00377CE1"/>
    <w:rsid w:val="0038344E"/>
    <w:rsid w:val="00384F7C"/>
    <w:rsid w:val="00385288"/>
    <w:rsid w:val="003852F0"/>
    <w:rsid w:val="00385BF0"/>
    <w:rsid w:val="00385E2B"/>
    <w:rsid w:val="00386980"/>
    <w:rsid w:val="003875C6"/>
    <w:rsid w:val="003878E4"/>
    <w:rsid w:val="00387CB9"/>
    <w:rsid w:val="00387CD8"/>
    <w:rsid w:val="00387EF3"/>
    <w:rsid w:val="00390B78"/>
    <w:rsid w:val="00391041"/>
    <w:rsid w:val="00391581"/>
    <w:rsid w:val="00391DCC"/>
    <w:rsid w:val="00392332"/>
    <w:rsid w:val="00392B92"/>
    <w:rsid w:val="0039367A"/>
    <w:rsid w:val="003939FF"/>
    <w:rsid w:val="00394BBE"/>
    <w:rsid w:val="00395147"/>
    <w:rsid w:val="0039570D"/>
    <w:rsid w:val="00395E71"/>
    <w:rsid w:val="00396C22"/>
    <w:rsid w:val="003977D0"/>
    <w:rsid w:val="00397E97"/>
    <w:rsid w:val="003A0074"/>
    <w:rsid w:val="003A019F"/>
    <w:rsid w:val="003A0970"/>
    <w:rsid w:val="003A0FFF"/>
    <w:rsid w:val="003A18EC"/>
    <w:rsid w:val="003A21A3"/>
    <w:rsid w:val="003A2223"/>
    <w:rsid w:val="003A2908"/>
    <w:rsid w:val="003A2A0F"/>
    <w:rsid w:val="003A2BB7"/>
    <w:rsid w:val="003A45A1"/>
    <w:rsid w:val="003A4B13"/>
    <w:rsid w:val="003A5420"/>
    <w:rsid w:val="003A5B0A"/>
    <w:rsid w:val="003A5FF4"/>
    <w:rsid w:val="003A6BAC"/>
    <w:rsid w:val="003A7EF3"/>
    <w:rsid w:val="003B0637"/>
    <w:rsid w:val="003B1243"/>
    <w:rsid w:val="003B159C"/>
    <w:rsid w:val="003B1CD2"/>
    <w:rsid w:val="003B2BE9"/>
    <w:rsid w:val="003B2F80"/>
    <w:rsid w:val="003B369F"/>
    <w:rsid w:val="003B36A3"/>
    <w:rsid w:val="003B378C"/>
    <w:rsid w:val="003B3BE5"/>
    <w:rsid w:val="003B47F0"/>
    <w:rsid w:val="003B4DD1"/>
    <w:rsid w:val="003B56A3"/>
    <w:rsid w:val="003B5EB8"/>
    <w:rsid w:val="003B7C64"/>
    <w:rsid w:val="003B7C91"/>
    <w:rsid w:val="003B7E74"/>
    <w:rsid w:val="003B7FE5"/>
    <w:rsid w:val="003C11C8"/>
    <w:rsid w:val="003C238C"/>
    <w:rsid w:val="003C2702"/>
    <w:rsid w:val="003C2888"/>
    <w:rsid w:val="003C2BA0"/>
    <w:rsid w:val="003C3F3D"/>
    <w:rsid w:val="003C41F1"/>
    <w:rsid w:val="003C46F3"/>
    <w:rsid w:val="003C494C"/>
    <w:rsid w:val="003C5AC5"/>
    <w:rsid w:val="003C7806"/>
    <w:rsid w:val="003C78C4"/>
    <w:rsid w:val="003C7D3E"/>
    <w:rsid w:val="003D008F"/>
    <w:rsid w:val="003D00F6"/>
    <w:rsid w:val="003D0400"/>
    <w:rsid w:val="003D109F"/>
    <w:rsid w:val="003D2439"/>
    <w:rsid w:val="003D2478"/>
    <w:rsid w:val="003D359A"/>
    <w:rsid w:val="003D3C45"/>
    <w:rsid w:val="003D4F4C"/>
    <w:rsid w:val="003D5B1F"/>
    <w:rsid w:val="003D74AA"/>
    <w:rsid w:val="003D74CB"/>
    <w:rsid w:val="003E082E"/>
    <w:rsid w:val="003E0A31"/>
    <w:rsid w:val="003E0A62"/>
    <w:rsid w:val="003E1503"/>
    <w:rsid w:val="003E15FA"/>
    <w:rsid w:val="003E2ADA"/>
    <w:rsid w:val="003E2FC5"/>
    <w:rsid w:val="003E3838"/>
    <w:rsid w:val="003E4268"/>
    <w:rsid w:val="003E4835"/>
    <w:rsid w:val="003E55E4"/>
    <w:rsid w:val="003E5E20"/>
    <w:rsid w:val="003E6848"/>
    <w:rsid w:val="003E6C50"/>
    <w:rsid w:val="003E6D52"/>
    <w:rsid w:val="003E74E3"/>
    <w:rsid w:val="003F05C7"/>
    <w:rsid w:val="003F08C8"/>
    <w:rsid w:val="003F1025"/>
    <w:rsid w:val="003F1249"/>
    <w:rsid w:val="003F12B3"/>
    <w:rsid w:val="003F1B1B"/>
    <w:rsid w:val="003F1EA9"/>
    <w:rsid w:val="003F2B2A"/>
    <w:rsid w:val="003F2CD4"/>
    <w:rsid w:val="003F377A"/>
    <w:rsid w:val="003F3E41"/>
    <w:rsid w:val="003F4061"/>
    <w:rsid w:val="003F46C1"/>
    <w:rsid w:val="003F4C5C"/>
    <w:rsid w:val="003F50CF"/>
    <w:rsid w:val="003F6BBE"/>
    <w:rsid w:val="003F6CBD"/>
    <w:rsid w:val="004000E8"/>
    <w:rsid w:val="0040039F"/>
    <w:rsid w:val="00400695"/>
    <w:rsid w:val="00400DCC"/>
    <w:rsid w:val="0040154B"/>
    <w:rsid w:val="00401FC8"/>
    <w:rsid w:val="0040212F"/>
    <w:rsid w:val="00402600"/>
    <w:rsid w:val="00402E2B"/>
    <w:rsid w:val="00403113"/>
    <w:rsid w:val="00403F6F"/>
    <w:rsid w:val="0040401D"/>
    <w:rsid w:val="00404910"/>
    <w:rsid w:val="00404C4D"/>
    <w:rsid w:val="0040512B"/>
    <w:rsid w:val="00405CA5"/>
    <w:rsid w:val="00406C2C"/>
    <w:rsid w:val="00406D3A"/>
    <w:rsid w:val="00406FB1"/>
    <w:rsid w:val="004073FC"/>
    <w:rsid w:val="00407CD3"/>
    <w:rsid w:val="00407F25"/>
    <w:rsid w:val="00410134"/>
    <w:rsid w:val="00410381"/>
    <w:rsid w:val="00410B72"/>
    <w:rsid w:val="00410F18"/>
    <w:rsid w:val="0041129C"/>
    <w:rsid w:val="0041263E"/>
    <w:rsid w:val="00412B35"/>
    <w:rsid w:val="00412C52"/>
    <w:rsid w:val="00413AAC"/>
    <w:rsid w:val="00415A5F"/>
    <w:rsid w:val="00416398"/>
    <w:rsid w:val="00417A29"/>
    <w:rsid w:val="00420BE0"/>
    <w:rsid w:val="00421105"/>
    <w:rsid w:val="00421BF2"/>
    <w:rsid w:val="00423906"/>
    <w:rsid w:val="00423A3C"/>
    <w:rsid w:val="00423B38"/>
    <w:rsid w:val="00423DDD"/>
    <w:rsid w:val="00423F4B"/>
    <w:rsid w:val="00424205"/>
    <w:rsid w:val="004242F4"/>
    <w:rsid w:val="0042539C"/>
    <w:rsid w:val="004256E5"/>
    <w:rsid w:val="00426545"/>
    <w:rsid w:val="00427248"/>
    <w:rsid w:val="00430FE5"/>
    <w:rsid w:val="00433034"/>
    <w:rsid w:val="0043314D"/>
    <w:rsid w:val="00435125"/>
    <w:rsid w:val="00436219"/>
    <w:rsid w:val="00437143"/>
    <w:rsid w:val="00437447"/>
    <w:rsid w:val="004374B4"/>
    <w:rsid w:val="004374F2"/>
    <w:rsid w:val="00437FF2"/>
    <w:rsid w:val="00441446"/>
    <w:rsid w:val="00441A92"/>
    <w:rsid w:val="00441DB9"/>
    <w:rsid w:val="00441FE8"/>
    <w:rsid w:val="004421A3"/>
    <w:rsid w:val="00443298"/>
    <w:rsid w:val="00443CBA"/>
    <w:rsid w:val="0044423E"/>
    <w:rsid w:val="00444F56"/>
    <w:rsid w:val="004463C5"/>
    <w:rsid w:val="00446488"/>
    <w:rsid w:val="00446538"/>
    <w:rsid w:val="00446A32"/>
    <w:rsid w:val="0045099B"/>
    <w:rsid w:val="00450B9D"/>
    <w:rsid w:val="004517AA"/>
    <w:rsid w:val="00452CAC"/>
    <w:rsid w:val="00454444"/>
    <w:rsid w:val="00455BF1"/>
    <w:rsid w:val="00456513"/>
    <w:rsid w:val="00457565"/>
    <w:rsid w:val="00457B71"/>
    <w:rsid w:val="00457B7D"/>
    <w:rsid w:val="004617EC"/>
    <w:rsid w:val="004634D9"/>
    <w:rsid w:val="004635D6"/>
    <w:rsid w:val="00463A4C"/>
    <w:rsid w:val="00465CF6"/>
    <w:rsid w:val="004669E2"/>
    <w:rsid w:val="00467069"/>
    <w:rsid w:val="00470C31"/>
    <w:rsid w:val="00470CD9"/>
    <w:rsid w:val="0047109C"/>
    <w:rsid w:val="00473125"/>
    <w:rsid w:val="00473293"/>
    <w:rsid w:val="004734D0"/>
    <w:rsid w:val="0047364C"/>
    <w:rsid w:val="00473AD4"/>
    <w:rsid w:val="00474412"/>
    <w:rsid w:val="0047556B"/>
    <w:rsid w:val="00476F7F"/>
    <w:rsid w:val="00477753"/>
    <w:rsid w:val="00477768"/>
    <w:rsid w:val="00477A6D"/>
    <w:rsid w:val="00477E90"/>
    <w:rsid w:val="004818A8"/>
    <w:rsid w:val="00481F49"/>
    <w:rsid w:val="00482538"/>
    <w:rsid w:val="00482FEA"/>
    <w:rsid w:val="00484447"/>
    <w:rsid w:val="004844EB"/>
    <w:rsid w:val="00484828"/>
    <w:rsid w:val="00484C6C"/>
    <w:rsid w:val="00485A5B"/>
    <w:rsid w:val="00487023"/>
    <w:rsid w:val="00487C37"/>
    <w:rsid w:val="0049263A"/>
    <w:rsid w:val="00492BC5"/>
    <w:rsid w:val="004939E0"/>
    <w:rsid w:val="00493FBA"/>
    <w:rsid w:val="00494270"/>
    <w:rsid w:val="00494559"/>
    <w:rsid w:val="00494A5E"/>
    <w:rsid w:val="004959B9"/>
    <w:rsid w:val="004961C3"/>
    <w:rsid w:val="004964F1"/>
    <w:rsid w:val="0049673D"/>
    <w:rsid w:val="00497115"/>
    <w:rsid w:val="004A16BC"/>
    <w:rsid w:val="004A1DB2"/>
    <w:rsid w:val="004A2523"/>
    <w:rsid w:val="004A2B94"/>
    <w:rsid w:val="004A3C93"/>
    <w:rsid w:val="004A3F13"/>
    <w:rsid w:val="004A5250"/>
    <w:rsid w:val="004A53AB"/>
    <w:rsid w:val="004A66B7"/>
    <w:rsid w:val="004B1462"/>
    <w:rsid w:val="004B1906"/>
    <w:rsid w:val="004B26F8"/>
    <w:rsid w:val="004B2C0E"/>
    <w:rsid w:val="004B2DBC"/>
    <w:rsid w:val="004B348E"/>
    <w:rsid w:val="004B3531"/>
    <w:rsid w:val="004B3AAF"/>
    <w:rsid w:val="004B48ED"/>
    <w:rsid w:val="004B51DE"/>
    <w:rsid w:val="004B5F88"/>
    <w:rsid w:val="004B61DD"/>
    <w:rsid w:val="004B685C"/>
    <w:rsid w:val="004B72C1"/>
    <w:rsid w:val="004B7AC9"/>
    <w:rsid w:val="004B7C0C"/>
    <w:rsid w:val="004C038C"/>
    <w:rsid w:val="004C0B69"/>
    <w:rsid w:val="004C1C13"/>
    <w:rsid w:val="004C3898"/>
    <w:rsid w:val="004C3C78"/>
    <w:rsid w:val="004C704B"/>
    <w:rsid w:val="004C7A6B"/>
    <w:rsid w:val="004D15D0"/>
    <w:rsid w:val="004D2039"/>
    <w:rsid w:val="004D272D"/>
    <w:rsid w:val="004D2843"/>
    <w:rsid w:val="004D36B1"/>
    <w:rsid w:val="004D43FC"/>
    <w:rsid w:val="004D4B44"/>
    <w:rsid w:val="004D535D"/>
    <w:rsid w:val="004D63B7"/>
    <w:rsid w:val="004D7EBD"/>
    <w:rsid w:val="004E0781"/>
    <w:rsid w:val="004E16EB"/>
    <w:rsid w:val="004E1DB3"/>
    <w:rsid w:val="004E2680"/>
    <w:rsid w:val="004E26DA"/>
    <w:rsid w:val="004E28F9"/>
    <w:rsid w:val="004E2D26"/>
    <w:rsid w:val="004E33BC"/>
    <w:rsid w:val="004E3414"/>
    <w:rsid w:val="004E462E"/>
    <w:rsid w:val="004E5216"/>
    <w:rsid w:val="004E55C5"/>
    <w:rsid w:val="004E56DC"/>
    <w:rsid w:val="004E614B"/>
    <w:rsid w:val="004E76F4"/>
    <w:rsid w:val="004E7ADC"/>
    <w:rsid w:val="004F0B4E"/>
    <w:rsid w:val="004F0B6C"/>
    <w:rsid w:val="004F0D65"/>
    <w:rsid w:val="004F0FA0"/>
    <w:rsid w:val="004F2078"/>
    <w:rsid w:val="004F2211"/>
    <w:rsid w:val="004F26FC"/>
    <w:rsid w:val="004F3A3C"/>
    <w:rsid w:val="004F4DA3"/>
    <w:rsid w:val="004F51B1"/>
    <w:rsid w:val="004F5C96"/>
    <w:rsid w:val="004F66A4"/>
    <w:rsid w:val="004F6E06"/>
    <w:rsid w:val="004F7935"/>
    <w:rsid w:val="0050096E"/>
    <w:rsid w:val="005011B5"/>
    <w:rsid w:val="005015AB"/>
    <w:rsid w:val="0050217A"/>
    <w:rsid w:val="00502204"/>
    <w:rsid w:val="0050285F"/>
    <w:rsid w:val="005032F8"/>
    <w:rsid w:val="00505569"/>
    <w:rsid w:val="0050574D"/>
    <w:rsid w:val="00506531"/>
    <w:rsid w:val="00506557"/>
    <w:rsid w:val="0050677A"/>
    <w:rsid w:val="005068AC"/>
    <w:rsid w:val="00507587"/>
    <w:rsid w:val="005077AB"/>
    <w:rsid w:val="005079E4"/>
    <w:rsid w:val="005107DB"/>
    <w:rsid w:val="005108D8"/>
    <w:rsid w:val="0051093C"/>
    <w:rsid w:val="005116F9"/>
    <w:rsid w:val="005134E2"/>
    <w:rsid w:val="00513E49"/>
    <w:rsid w:val="00513E69"/>
    <w:rsid w:val="00514DB7"/>
    <w:rsid w:val="00514E43"/>
    <w:rsid w:val="005153A7"/>
    <w:rsid w:val="00515422"/>
    <w:rsid w:val="00516E50"/>
    <w:rsid w:val="00520050"/>
    <w:rsid w:val="00520683"/>
    <w:rsid w:val="00521276"/>
    <w:rsid w:val="005219CF"/>
    <w:rsid w:val="00521D5C"/>
    <w:rsid w:val="00522137"/>
    <w:rsid w:val="005222B0"/>
    <w:rsid w:val="0052372C"/>
    <w:rsid w:val="00525169"/>
    <w:rsid w:val="005253FA"/>
    <w:rsid w:val="0052549C"/>
    <w:rsid w:val="005257CE"/>
    <w:rsid w:val="0052581B"/>
    <w:rsid w:val="005259EB"/>
    <w:rsid w:val="00525EB8"/>
    <w:rsid w:val="00526E13"/>
    <w:rsid w:val="005276CA"/>
    <w:rsid w:val="00530FFD"/>
    <w:rsid w:val="00531537"/>
    <w:rsid w:val="00531852"/>
    <w:rsid w:val="00531ABB"/>
    <w:rsid w:val="00531DDD"/>
    <w:rsid w:val="00531E66"/>
    <w:rsid w:val="00532738"/>
    <w:rsid w:val="00532D5E"/>
    <w:rsid w:val="00533E31"/>
    <w:rsid w:val="00534B53"/>
    <w:rsid w:val="00534B59"/>
    <w:rsid w:val="00535C9C"/>
    <w:rsid w:val="00536018"/>
    <w:rsid w:val="0053610C"/>
    <w:rsid w:val="00536759"/>
    <w:rsid w:val="00537349"/>
    <w:rsid w:val="00537C62"/>
    <w:rsid w:val="005406E6"/>
    <w:rsid w:val="00540DA5"/>
    <w:rsid w:val="00540FF2"/>
    <w:rsid w:val="0054154D"/>
    <w:rsid w:val="0054205F"/>
    <w:rsid w:val="00542E84"/>
    <w:rsid w:val="005436F5"/>
    <w:rsid w:val="00543D65"/>
    <w:rsid w:val="005440FF"/>
    <w:rsid w:val="00544B3E"/>
    <w:rsid w:val="005452B7"/>
    <w:rsid w:val="005463B1"/>
    <w:rsid w:val="00546970"/>
    <w:rsid w:val="00546A5B"/>
    <w:rsid w:val="00547F4D"/>
    <w:rsid w:val="00550419"/>
    <w:rsid w:val="005507E7"/>
    <w:rsid w:val="005508D1"/>
    <w:rsid w:val="00550CE1"/>
    <w:rsid w:val="0055116C"/>
    <w:rsid w:val="0055173A"/>
    <w:rsid w:val="00552E6C"/>
    <w:rsid w:val="005536E6"/>
    <w:rsid w:val="005544B3"/>
    <w:rsid w:val="00554E19"/>
    <w:rsid w:val="005557BD"/>
    <w:rsid w:val="00556189"/>
    <w:rsid w:val="00557265"/>
    <w:rsid w:val="00557B17"/>
    <w:rsid w:val="0056121F"/>
    <w:rsid w:val="00561415"/>
    <w:rsid w:val="005618D4"/>
    <w:rsid w:val="0056652E"/>
    <w:rsid w:val="00566637"/>
    <w:rsid w:val="00566D62"/>
    <w:rsid w:val="00566EB4"/>
    <w:rsid w:val="005672A2"/>
    <w:rsid w:val="00567D43"/>
    <w:rsid w:val="0057180C"/>
    <w:rsid w:val="00572505"/>
    <w:rsid w:val="00572E2D"/>
    <w:rsid w:val="005736C0"/>
    <w:rsid w:val="00573D51"/>
    <w:rsid w:val="00574157"/>
    <w:rsid w:val="005745AE"/>
    <w:rsid w:val="00574AE4"/>
    <w:rsid w:val="005754FB"/>
    <w:rsid w:val="0057624C"/>
    <w:rsid w:val="0057703B"/>
    <w:rsid w:val="00577C6B"/>
    <w:rsid w:val="0058242F"/>
    <w:rsid w:val="00582809"/>
    <w:rsid w:val="00583304"/>
    <w:rsid w:val="00583765"/>
    <w:rsid w:val="00583CE8"/>
    <w:rsid w:val="00583D65"/>
    <w:rsid w:val="005855F0"/>
    <w:rsid w:val="0058566C"/>
    <w:rsid w:val="00585B1B"/>
    <w:rsid w:val="00586264"/>
    <w:rsid w:val="0058750B"/>
    <w:rsid w:val="0058798C"/>
    <w:rsid w:val="005900FA"/>
    <w:rsid w:val="00590780"/>
    <w:rsid w:val="00590ED8"/>
    <w:rsid w:val="0059164C"/>
    <w:rsid w:val="005935A4"/>
    <w:rsid w:val="00593847"/>
    <w:rsid w:val="00593BDF"/>
    <w:rsid w:val="00594400"/>
    <w:rsid w:val="005948C2"/>
    <w:rsid w:val="00594AC2"/>
    <w:rsid w:val="00595DCA"/>
    <w:rsid w:val="0059605F"/>
    <w:rsid w:val="00596CE5"/>
    <w:rsid w:val="0059779B"/>
    <w:rsid w:val="005A1017"/>
    <w:rsid w:val="005A10C0"/>
    <w:rsid w:val="005A1D77"/>
    <w:rsid w:val="005A209A"/>
    <w:rsid w:val="005A26CF"/>
    <w:rsid w:val="005A2DFD"/>
    <w:rsid w:val="005A335E"/>
    <w:rsid w:val="005A3CF0"/>
    <w:rsid w:val="005A5829"/>
    <w:rsid w:val="005A662D"/>
    <w:rsid w:val="005A6C3F"/>
    <w:rsid w:val="005A731D"/>
    <w:rsid w:val="005A736D"/>
    <w:rsid w:val="005A79A6"/>
    <w:rsid w:val="005A7DE7"/>
    <w:rsid w:val="005B119C"/>
    <w:rsid w:val="005B2734"/>
    <w:rsid w:val="005B2EE8"/>
    <w:rsid w:val="005B35D7"/>
    <w:rsid w:val="005B392A"/>
    <w:rsid w:val="005B3AA3"/>
    <w:rsid w:val="005B4700"/>
    <w:rsid w:val="005B50F7"/>
    <w:rsid w:val="005B5C8C"/>
    <w:rsid w:val="005B6B24"/>
    <w:rsid w:val="005B6F83"/>
    <w:rsid w:val="005B7290"/>
    <w:rsid w:val="005C038B"/>
    <w:rsid w:val="005C30A7"/>
    <w:rsid w:val="005C411C"/>
    <w:rsid w:val="005C4605"/>
    <w:rsid w:val="005C584E"/>
    <w:rsid w:val="005C5CD4"/>
    <w:rsid w:val="005C5FE0"/>
    <w:rsid w:val="005C6445"/>
    <w:rsid w:val="005C74FB"/>
    <w:rsid w:val="005D0625"/>
    <w:rsid w:val="005D0736"/>
    <w:rsid w:val="005D1021"/>
    <w:rsid w:val="005D1602"/>
    <w:rsid w:val="005D23E5"/>
    <w:rsid w:val="005D2C06"/>
    <w:rsid w:val="005D5AE9"/>
    <w:rsid w:val="005D653E"/>
    <w:rsid w:val="005D723C"/>
    <w:rsid w:val="005D7E07"/>
    <w:rsid w:val="005D7F1F"/>
    <w:rsid w:val="005E067A"/>
    <w:rsid w:val="005E0D16"/>
    <w:rsid w:val="005E2F8D"/>
    <w:rsid w:val="005E33E5"/>
    <w:rsid w:val="005E350A"/>
    <w:rsid w:val="005E385F"/>
    <w:rsid w:val="005E395A"/>
    <w:rsid w:val="005E3AB9"/>
    <w:rsid w:val="005E53AB"/>
    <w:rsid w:val="005E5B81"/>
    <w:rsid w:val="005E6112"/>
    <w:rsid w:val="005E7550"/>
    <w:rsid w:val="005E75AD"/>
    <w:rsid w:val="005F0756"/>
    <w:rsid w:val="005F0EDF"/>
    <w:rsid w:val="005F15D8"/>
    <w:rsid w:val="005F1A30"/>
    <w:rsid w:val="005F2CB1"/>
    <w:rsid w:val="005F2D22"/>
    <w:rsid w:val="005F3025"/>
    <w:rsid w:val="005F31FE"/>
    <w:rsid w:val="005F33E8"/>
    <w:rsid w:val="005F4799"/>
    <w:rsid w:val="005F4C85"/>
    <w:rsid w:val="005F514A"/>
    <w:rsid w:val="005F5162"/>
    <w:rsid w:val="005F618C"/>
    <w:rsid w:val="005F7097"/>
    <w:rsid w:val="005F70BD"/>
    <w:rsid w:val="005F735B"/>
    <w:rsid w:val="005F76F0"/>
    <w:rsid w:val="005F7D1C"/>
    <w:rsid w:val="00600A3F"/>
    <w:rsid w:val="00600BCF"/>
    <w:rsid w:val="00601EEB"/>
    <w:rsid w:val="0060283C"/>
    <w:rsid w:val="00602B8E"/>
    <w:rsid w:val="00604F14"/>
    <w:rsid w:val="00605125"/>
    <w:rsid w:val="006052B6"/>
    <w:rsid w:val="00606C1B"/>
    <w:rsid w:val="00606E26"/>
    <w:rsid w:val="006074FC"/>
    <w:rsid w:val="00610105"/>
    <w:rsid w:val="006104B8"/>
    <w:rsid w:val="006115DA"/>
    <w:rsid w:val="00611A0F"/>
    <w:rsid w:val="00611B83"/>
    <w:rsid w:val="00612307"/>
    <w:rsid w:val="0061279F"/>
    <w:rsid w:val="00613257"/>
    <w:rsid w:val="006139BE"/>
    <w:rsid w:val="00614DD5"/>
    <w:rsid w:val="00614FD0"/>
    <w:rsid w:val="006177F4"/>
    <w:rsid w:val="00617FAD"/>
    <w:rsid w:val="00620A71"/>
    <w:rsid w:val="00620D80"/>
    <w:rsid w:val="006212A9"/>
    <w:rsid w:val="00621970"/>
    <w:rsid w:val="00622890"/>
    <w:rsid w:val="006234A6"/>
    <w:rsid w:val="0062422E"/>
    <w:rsid w:val="00624348"/>
    <w:rsid w:val="006245D4"/>
    <w:rsid w:val="006246AE"/>
    <w:rsid w:val="00625256"/>
    <w:rsid w:val="00625FEC"/>
    <w:rsid w:val="00626333"/>
    <w:rsid w:val="006279C9"/>
    <w:rsid w:val="00630001"/>
    <w:rsid w:val="006303BF"/>
    <w:rsid w:val="00630C1A"/>
    <w:rsid w:val="006311B3"/>
    <w:rsid w:val="00631883"/>
    <w:rsid w:val="00631C17"/>
    <w:rsid w:val="0063235B"/>
    <w:rsid w:val="0063284C"/>
    <w:rsid w:val="00633DD0"/>
    <w:rsid w:val="00633FC4"/>
    <w:rsid w:val="00634870"/>
    <w:rsid w:val="006354D7"/>
    <w:rsid w:val="00636398"/>
    <w:rsid w:val="006367E0"/>
    <w:rsid w:val="006368D3"/>
    <w:rsid w:val="006377EC"/>
    <w:rsid w:val="00640069"/>
    <w:rsid w:val="006405D3"/>
    <w:rsid w:val="0064151F"/>
    <w:rsid w:val="00641533"/>
    <w:rsid w:val="00641B9A"/>
    <w:rsid w:val="0064208D"/>
    <w:rsid w:val="006420FE"/>
    <w:rsid w:val="00643475"/>
    <w:rsid w:val="00643745"/>
    <w:rsid w:val="0064379B"/>
    <w:rsid w:val="006438C7"/>
    <w:rsid w:val="0064396A"/>
    <w:rsid w:val="00644E49"/>
    <w:rsid w:val="0064511F"/>
    <w:rsid w:val="0064624E"/>
    <w:rsid w:val="006464D7"/>
    <w:rsid w:val="00646FBB"/>
    <w:rsid w:val="00647386"/>
    <w:rsid w:val="00647509"/>
    <w:rsid w:val="00647E9F"/>
    <w:rsid w:val="00650110"/>
    <w:rsid w:val="00650AB9"/>
    <w:rsid w:val="00651C5D"/>
    <w:rsid w:val="006521FA"/>
    <w:rsid w:val="00653199"/>
    <w:rsid w:val="006545FA"/>
    <w:rsid w:val="006550F5"/>
    <w:rsid w:val="00655733"/>
    <w:rsid w:val="00655ACD"/>
    <w:rsid w:val="00656A92"/>
    <w:rsid w:val="00656DDE"/>
    <w:rsid w:val="0066011D"/>
    <w:rsid w:val="00660340"/>
    <w:rsid w:val="006607C0"/>
    <w:rsid w:val="0066104C"/>
    <w:rsid w:val="006613A6"/>
    <w:rsid w:val="006619CC"/>
    <w:rsid w:val="006621CA"/>
    <w:rsid w:val="00662316"/>
    <w:rsid w:val="006627A2"/>
    <w:rsid w:val="006634E6"/>
    <w:rsid w:val="0066361C"/>
    <w:rsid w:val="006655EE"/>
    <w:rsid w:val="00665680"/>
    <w:rsid w:val="006664AE"/>
    <w:rsid w:val="00666932"/>
    <w:rsid w:val="00667070"/>
    <w:rsid w:val="0066789C"/>
    <w:rsid w:val="00667EE7"/>
    <w:rsid w:val="00670380"/>
    <w:rsid w:val="00670922"/>
    <w:rsid w:val="00670BE1"/>
    <w:rsid w:val="00672140"/>
    <w:rsid w:val="0067218F"/>
    <w:rsid w:val="00672CC9"/>
    <w:rsid w:val="00672D43"/>
    <w:rsid w:val="00674008"/>
    <w:rsid w:val="006741F2"/>
    <w:rsid w:val="00674B20"/>
    <w:rsid w:val="00674CC3"/>
    <w:rsid w:val="00675079"/>
    <w:rsid w:val="00675C72"/>
    <w:rsid w:val="006771F9"/>
    <w:rsid w:val="006773B0"/>
    <w:rsid w:val="006773C5"/>
    <w:rsid w:val="006776D7"/>
    <w:rsid w:val="00681003"/>
    <w:rsid w:val="006813C8"/>
    <w:rsid w:val="006817C9"/>
    <w:rsid w:val="00682655"/>
    <w:rsid w:val="00683695"/>
    <w:rsid w:val="00683ECE"/>
    <w:rsid w:val="0068461B"/>
    <w:rsid w:val="006854D9"/>
    <w:rsid w:val="00686555"/>
    <w:rsid w:val="00687D46"/>
    <w:rsid w:val="00690808"/>
    <w:rsid w:val="0069260E"/>
    <w:rsid w:val="006939A7"/>
    <w:rsid w:val="00693EDB"/>
    <w:rsid w:val="0069566E"/>
    <w:rsid w:val="00695685"/>
    <w:rsid w:val="00695D20"/>
    <w:rsid w:val="00695FC2"/>
    <w:rsid w:val="0069683F"/>
    <w:rsid w:val="00696949"/>
    <w:rsid w:val="00696B8C"/>
    <w:rsid w:val="00696E4F"/>
    <w:rsid w:val="00697052"/>
    <w:rsid w:val="0069710C"/>
    <w:rsid w:val="006A1BE0"/>
    <w:rsid w:val="006A1DA9"/>
    <w:rsid w:val="006A2C09"/>
    <w:rsid w:val="006A3973"/>
    <w:rsid w:val="006A3E00"/>
    <w:rsid w:val="006A3EC1"/>
    <w:rsid w:val="006A401E"/>
    <w:rsid w:val="006A43BB"/>
    <w:rsid w:val="006A4423"/>
    <w:rsid w:val="006A46FB"/>
    <w:rsid w:val="006A548B"/>
    <w:rsid w:val="006A5E28"/>
    <w:rsid w:val="006A697B"/>
    <w:rsid w:val="006A6FA6"/>
    <w:rsid w:val="006A72A6"/>
    <w:rsid w:val="006A7AFF"/>
    <w:rsid w:val="006A7B3B"/>
    <w:rsid w:val="006B10F9"/>
    <w:rsid w:val="006B1816"/>
    <w:rsid w:val="006B19B6"/>
    <w:rsid w:val="006B2099"/>
    <w:rsid w:val="006B234A"/>
    <w:rsid w:val="006B347E"/>
    <w:rsid w:val="006B34AF"/>
    <w:rsid w:val="006B43AC"/>
    <w:rsid w:val="006B4802"/>
    <w:rsid w:val="006B50CF"/>
    <w:rsid w:val="006B57AC"/>
    <w:rsid w:val="006B5B0F"/>
    <w:rsid w:val="006B676A"/>
    <w:rsid w:val="006B6D01"/>
    <w:rsid w:val="006B79A4"/>
    <w:rsid w:val="006C0219"/>
    <w:rsid w:val="006C03B8"/>
    <w:rsid w:val="006C0F92"/>
    <w:rsid w:val="006C1D4B"/>
    <w:rsid w:val="006C2764"/>
    <w:rsid w:val="006C2B76"/>
    <w:rsid w:val="006C3B88"/>
    <w:rsid w:val="006C3C95"/>
    <w:rsid w:val="006C3D00"/>
    <w:rsid w:val="006C4529"/>
    <w:rsid w:val="006C4866"/>
    <w:rsid w:val="006C5EC9"/>
    <w:rsid w:val="006C6059"/>
    <w:rsid w:val="006C6433"/>
    <w:rsid w:val="006C716E"/>
    <w:rsid w:val="006C7522"/>
    <w:rsid w:val="006D0734"/>
    <w:rsid w:val="006D155A"/>
    <w:rsid w:val="006D1DA7"/>
    <w:rsid w:val="006D211D"/>
    <w:rsid w:val="006D26EB"/>
    <w:rsid w:val="006D2966"/>
    <w:rsid w:val="006D46F4"/>
    <w:rsid w:val="006D4E25"/>
    <w:rsid w:val="006D58E2"/>
    <w:rsid w:val="006D603D"/>
    <w:rsid w:val="006D61D3"/>
    <w:rsid w:val="006D61D7"/>
    <w:rsid w:val="006D6CB0"/>
    <w:rsid w:val="006D6F08"/>
    <w:rsid w:val="006D6F24"/>
    <w:rsid w:val="006E0457"/>
    <w:rsid w:val="006E062C"/>
    <w:rsid w:val="006E0835"/>
    <w:rsid w:val="006E0F96"/>
    <w:rsid w:val="006E10B7"/>
    <w:rsid w:val="006E1EBB"/>
    <w:rsid w:val="006E28B7"/>
    <w:rsid w:val="006E3310"/>
    <w:rsid w:val="006E3E58"/>
    <w:rsid w:val="006E4115"/>
    <w:rsid w:val="006E4E39"/>
    <w:rsid w:val="006E5225"/>
    <w:rsid w:val="006E565E"/>
    <w:rsid w:val="006E5BCC"/>
    <w:rsid w:val="006E6007"/>
    <w:rsid w:val="006E673D"/>
    <w:rsid w:val="006E7D3B"/>
    <w:rsid w:val="006E7DDC"/>
    <w:rsid w:val="006F0B1D"/>
    <w:rsid w:val="006F136B"/>
    <w:rsid w:val="006F1B70"/>
    <w:rsid w:val="006F2D11"/>
    <w:rsid w:val="006F341D"/>
    <w:rsid w:val="006F3CDE"/>
    <w:rsid w:val="006F4331"/>
    <w:rsid w:val="006F47FA"/>
    <w:rsid w:val="006F53F6"/>
    <w:rsid w:val="006F56F5"/>
    <w:rsid w:val="006F58D4"/>
    <w:rsid w:val="006F6384"/>
    <w:rsid w:val="006F6818"/>
    <w:rsid w:val="006F6BF6"/>
    <w:rsid w:val="006F78DC"/>
    <w:rsid w:val="00701069"/>
    <w:rsid w:val="00701D34"/>
    <w:rsid w:val="0070279F"/>
    <w:rsid w:val="0070346E"/>
    <w:rsid w:val="00704024"/>
    <w:rsid w:val="00704DC4"/>
    <w:rsid w:val="00704EDB"/>
    <w:rsid w:val="00705819"/>
    <w:rsid w:val="00706101"/>
    <w:rsid w:val="007064D8"/>
    <w:rsid w:val="0070678F"/>
    <w:rsid w:val="00707072"/>
    <w:rsid w:val="007072F2"/>
    <w:rsid w:val="007077ED"/>
    <w:rsid w:val="00707D61"/>
    <w:rsid w:val="007113AB"/>
    <w:rsid w:val="00711D19"/>
    <w:rsid w:val="00712287"/>
    <w:rsid w:val="0071259C"/>
    <w:rsid w:val="00712772"/>
    <w:rsid w:val="007128CD"/>
    <w:rsid w:val="00713173"/>
    <w:rsid w:val="007142A4"/>
    <w:rsid w:val="007148D3"/>
    <w:rsid w:val="00715B9A"/>
    <w:rsid w:val="00716D3D"/>
    <w:rsid w:val="00717C1B"/>
    <w:rsid w:val="007202A4"/>
    <w:rsid w:val="00721238"/>
    <w:rsid w:val="00725DEA"/>
    <w:rsid w:val="0072612F"/>
    <w:rsid w:val="007267E1"/>
    <w:rsid w:val="00726EA6"/>
    <w:rsid w:val="00726EFB"/>
    <w:rsid w:val="00727208"/>
    <w:rsid w:val="007274DC"/>
    <w:rsid w:val="00727650"/>
    <w:rsid w:val="00727680"/>
    <w:rsid w:val="0073043C"/>
    <w:rsid w:val="007304DA"/>
    <w:rsid w:val="00730518"/>
    <w:rsid w:val="00732461"/>
    <w:rsid w:val="00732A70"/>
    <w:rsid w:val="00732F2C"/>
    <w:rsid w:val="0073392C"/>
    <w:rsid w:val="00733D62"/>
    <w:rsid w:val="00734141"/>
    <w:rsid w:val="007348B1"/>
    <w:rsid w:val="007352D9"/>
    <w:rsid w:val="007355F9"/>
    <w:rsid w:val="007359D6"/>
    <w:rsid w:val="00735A9C"/>
    <w:rsid w:val="00735B94"/>
    <w:rsid w:val="007362A6"/>
    <w:rsid w:val="00736D7D"/>
    <w:rsid w:val="00737D4B"/>
    <w:rsid w:val="00740033"/>
    <w:rsid w:val="0074029B"/>
    <w:rsid w:val="00740773"/>
    <w:rsid w:val="00740E58"/>
    <w:rsid w:val="00741381"/>
    <w:rsid w:val="00741CCC"/>
    <w:rsid w:val="00742B10"/>
    <w:rsid w:val="00742F51"/>
    <w:rsid w:val="007434B0"/>
    <w:rsid w:val="00743627"/>
    <w:rsid w:val="00743A45"/>
    <w:rsid w:val="00743B74"/>
    <w:rsid w:val="007443C5"/>
    <w:rsid w:val="007445A0"/>
    <w:rsid w:val="00744BA6"/>
    <w:rsid w:val="0074524B"/>
    <w:rsid w:val="00745FE1"/>
    <w:rsid w:val="00746961"/>
    <w:rsid w:val="00747D8B"/>
    <w:rsid w:val="007511BE"/>
    <w:rsid w:val="00751228"/>
    <w:rsid w:val="0075188B"/>
    <w:rsid w:val="00752F81"/>
    <w:rsid w:val="0075394B"/>
    <w:rsid w:val="0075427B"/>
    <w:rsid w:val="00754507"/>
    <w:rsid w:val="00755667"/>
    <w:rsid w:val="007571E1"/>
    <w:rsid w:val="00757591"/>
    <w:rsid w:val="007577B6"/>
    <w:rsid w:val="00757FC6"/>
    <w:rsid w:val="0076022E"/>
    <w:rsid w:val="007604B2"/>
    <w:rsid w:val="007609D1"/>
    <w:rsid w:val="00761C19"/>
    <w:rsid w:val="00761DBA"/>
    <w:rsid w:val="00762311"/>
    <w:rsid w:val="007628AF"/>
    <w:rsid w:val="0076294B"/>
    <w:rsid w:val="00762CCF"/>
    <w:rsid w:val="00762E3F"/>
    <w:rsid w:val="007630C8"/>
    <w:rsid w:val="00763259"/>
    <w:rsid w:val="00763A33"/>
    <w:rsid w:val="00763ABF"/>
    <w:rsid w:val="00765117"/>
    <w:rsid w:val="00765281"/>
    <w:rsid w:val="00765301"/>
    <w:rsid w:val="007656A7"/>
    <w:rsid w:val="0076680B"/>
    <w:rsid w:val="00766BAD"/>
    <w:rsid w:val="00767000"/>
    <w:rsid w:val="007671A1"/>
    <w:rsid w:val="0076766E"/>
    <w:rsid w:val="00767E7A"/>
    <w:rsid w:val="007702C6"/>
    <w:rsid w:val="00770919"/>
    <w:rsid w:val="0077133F"/>
    <w:rsid w:val="00771F21"/>
    <w:rsid w:val="00772627"/>
    <w:rsid w:val="00772B12"/>
    <w:rsid w:val="00772DEC"/>
    <w:rsid w:val="00772FBF"/>
    <w:rsid w:val="007730BD"/>
    <w:rsid w:val="00774750"/>
    <w:rsid w:val="007755F2"/>
    <w:rsid w:val="00775A66"/>
    <w:rsid w:val="0077652D"/>
    <w:rsid w:val="00776971"/>
    <w:rsid w:val="00780A15"/>
    <w:rsid w:val="00780BB9"/>
    <w:rsid w:val="00780D4F"/>
    <w:rsid w:val="00780E08"/>
    <w:rsid w:val="007810CD"/>
    <w:rsid w:val="0078160E"/>
    <w:rsid w:val="0078177E"/>
    <w:rsid w:val="007824D7"/>
    <w:rsid w:val="0078251A"/>
    <w:rsid w:val="007825F9"/>
    <w:rsid w:val="00782DC0"/>
    <w:rsid w:val="0078304C"/>
    <w:rsid w:val="007835CF"/>
    <w:rsid w:val="00783673"/>
    <w:rsid w:val="00783710"/>
    <w:rsid w:val="00783CCB"/>
    <w:rsid w:val="00783CEB"/>
    <w:rsid w:val="007846DA"/>
    <w:rsid w:val="0078472A"/>
    <w:rsid w:val="007847EB"/>
    <w:rsid w:val="00784810"/>
    <w:rsid w:val="00784A46"/>
    <w:rsid w:val="00785490"/>
    <w:rsid w:val="0078718B"/>
    <w:rsid w:val="00787A17"/>
    <w:rsid w:val="00787AA5"/>
    <w:rsid w:val="00790F79"/>
    <w:rsid w:val="00791202"/>
    <w:rsid w:val="007918DC"/>
    <w:rsid w:val="00792051"/>
    <w:rsid w:val="007925EA"/>
    <w:rsid w:val="007926FD"/>
    <w:rsid w:val="00792D64"/>
    <w:rsid w:val="00793CD8"/>
    <w:rsid w:val="00793D87"/>
    <w:rsid w:val="007941B1"/>
    <w:rsid w:val="007944D6"/>
    <w:rsid w:val="007956B7"/>
    <w:rsid w:val="00795C92"/>
    <w:rsid w:val="00796231"/>
    <w:rsid w:val="007A0279"/>
    <w:rsid w:val="007A0348"/>
    <w:rsid w:val="007A195B"/>
    <w:rsid w:val="007A1CB3"/>
    <w:rsid w:val="007A2766"/>
    <w:rsid w:val="007A2931"/>
    <w:rsid w:val="007A306F"/>
    <w:rsid w:val="007A3808"/>
    <w:rsid w:val="007A3AE2"/>
    <w:rsid w:val="007A3C9B"/>
    <w:rsid w:val="007A41DE"/>
    <w:rsid w:val="007A43A6"/>
    <w:rsid w:val="007A5841"/>
    <w:rsid w:val="007A58A6"/>
    <w:rsid w:val="007A6A88"/>
    <w:rsid w:val="007A6EC4"/>
    <w:rsid w:val="007A7D16"/>
    <w:rsid w:val="007A7ED6"/>
    <w:rsid w:val="007B1040"/>
    <w:rsid w:val="007B104F"/>
    <w:rsid w:val="007B13F3"/>
    <w:rsid w:val="007B1965"/>
    <w:rsid w:val="007B2F7B"/>
    <w:rsid w:val="007B30D3"/>
    <w:rsid w:val="007B3D2D"/>
    <w:rsid w:val="007B3DD3"/>
    <w:rsid w:val="007B50AE"/>
    <w:rsid w:val="007B51DF"/>
    <w:rsid w:val="007B6ADC"/>
    <w:rsid w:val="007B741D"/>
    <w:rsid w:val="007B797E"/>
    <w:rsid w:val="007C05D3"/>
    <w:rsid w:val="007C05DD"/>
    <w:rsid w:val="007C2094"/>
    <w:rsid w:val="007C2B1D"/>
    <w:rsid w:val="007C3D18"/>
    <w:rsid w:val="007C3E70"/>
    <w:rsid w:val="007C4B77"/>
    <w:rsid w:val="007C5598"/>
    <w:rsid w:val="007C5CE9"/>
    <w:rsid w:val="007C5E43"/>
    <w:rsid w:val="007C60BF"/>
    <w:rsid w:val="007C61AF"/>
    <w:rsid w:val="007C6A07"/>
    <w:rsid w:val="007C75A1"/>
    <w:rsid w:val="007C77A5"/>
    <w:rsid w:val="007D04E5"/>
    <w:rsid w:val="007D0E39"/>
    <w:rsid w:val="007D31CE"/>
    <w:rsid w:val="007D3377"/>
    <w:rsid w:val="007D533D"/>
    <w:rsid w:val="007D56E8"/>
    <w:rsid w:val="007D5901"/>
    <w:rsid w:val="007D68FF"/>
    <w:rsid w:val="007D7526"/>
    <w:rsid w:val="007D7B6D"/>
    <w:rsid w:val="007D7D03"/>
    <w:rsid w:val="007D7D2B"/>
    <w:rsid w:val="007E1C59"/>
    <w:rsid w:val="007E2484"/>
    <w:rsid w:val="007E2687"/>
    <w:rsid w:val="007E2C87"/>
    <w:rsid w:val="007E3161"/>
    <w:rsid w:val="007E3E9E"/>
    <w:rsid w:val="007E3F37"/>
    <w:rsid w:val="007E40D0"/>
    <w:rsid w:val="007E4610"/>
    <w:rsid w:val="007E4715"/>
    <w:rsid w:val="007E505B"/>
    <w:rsid w:val="007E5CAA"/>
    <w:rsid w:val="007E6256"/>
    <w:rsid w:val="007E7091"/>
    <w:rsid w:val="007E7928"/>
    <w:rsid w:val="007F01ED"/>
    <w:rsid w:val="007F0647"/>
    <w:rsid w:val="007F1AD4"/>
    <w:rsid w:val="007F2DAF"/>
    <w:rsid w:val="007F30D2"/>
    <w:rsid w:val="007F3ABF"/>
    <w:rsid w:val="007F406C"/>
    <w:rsid w:val="007F4368"/>
    <w:rsid w:val="007F4B2F"/>
    <w:rsid w:val="007F5CAA"/>
    <w:rsid w:val="007F6CBD"/>
    <w:rsid w:val="007F6E23"/>
    <w:rsid w:val="007F7944"/>
    <w:rsid w:val="008015F9"/>
    <w:rsid w:val="008018C1"/>
    <w:rsid w:val="00802949"/>
    <w:rsid w:val="00802A62"/>
    <w:rsid w:val="00802C97"/>
    <w:rsid w:val="0080346A"/>
    <w:rsid w:val="008035C1"/>
    <w:rsid w:val="008038B7"/>
    <w:rsid w:val="00803E89"/>
    <w:rsid w:val="00803FAE"/>
    <w:rsid w:val="0080561A"/>
    <w:rsid w:val="0080605F"/>
    <w:rsid w:val="008075A3"/>
    <w:rsid w:val="00807786"/>
    <w:rsid w:val="00810BBF"/>
    <w:rsid w:val="00811C44"/>
    <w:rsid w:val="00811FCB"/>
    <w:rsid w:val="00812985"/>
    <w:rsid w:val="00812EB7"/>
    <w:rsid w:val="008138B3"/>
    <w:rsid w:val="00814AFE"/>
    <w:rsid w:val="00814B95"/>
    <w:rsid w:val="00815257"/>
    <w:rsid w:val="008158D6"/>
    <w:rsid w:val="0081616E"/>
    <w:rsid w:val="0081663E"/>
    <w:rsid w:val="00816F6E"/>
    <w:rsid w:val="00817196"/>
    <w:rsid w:val="008175FD"/>
    <w:rsid w:val="00820A86"/>
    <w:rsid w:val="00820D90"/>
    <w:rsid w:val="008220B0"/>
    <w:rsid w:val="0082232D"/>
    <w:rsid w:val="00822720"/>
    <w:rsid w:val="008235DB"/>
    <w:rsid w:val="00823A8D"/>
    <w:rsid w:val="00823CCC"/>
    <w:rsid w:val="00823E29"/>
    <w:rsid w:val="00824AB4"/>
    <w:rsid w:val="00824B5B"/>
    <w:rsid w:val="0082503A"/>
    <w:rsid w:val="008254B6"/>
    <w:rsid w:val="00825C42"/>
    <w:rsid w:val="00825C83"/>
    <w:rsid w:val="00825D25"/>
    <w:rsid w:val="00825E2A"/>
    <w:rsid w:val="00826833"/>
    <w:rsid w:val="00826B51"/>
    <w:rsid w:val="00827598"/>
    <w:rsid w:val="008275C2"/>
    <w:rsid w:val="00827A6A"/>
    <w:rsid w:val="00827D6F"/>
    <w:rsid w:val="008302A8"/>
    <w:rsid w:val="008303ED"/>
    <w:rsid w:val="0083091A"/>
    <w:rsid w:val="008309A9"/>
    <w:rsid w:val="00830A16"/>
    <w:rsid w:val="00830A86"/>
    <w:rsid w:val="008312A5"/>
    <w:rsid w:val="008321AE"/>
    <w:rsid w:val="008324B2"/>
    <w:rsid w:val="00832B61"/>
    <w:rsid w:val="008335BB"/>
    <w:rsid w:val="00833E1F"/>
    <w:rsid w:val="00833E66"/>
    <w:rsid w:val="008348A8"/>
    <w:rsid w:val="008359EA"/>
    <w:rsid w:val="00836193"/>
    <w:rsid w:val="008362C2"/>
    <w:rsid w:val="00836929"/>
    <w:rsid w:val="008376AC"/>
    <w:rsid w:val="00837DF0"/>
    <w:rsid w:val="00840018"/>
    <w:rsid w:val="00840DB1"/>
    <w:rsid w:val="00842059"/>
    <w:rsid w:val="00843BDD"/>
    <w:rsid w:val="008444E8"/>
    <w:rsid w:val="008445F8"/>
    <w:rsid w:val="00844E80"/>
    <w:rsid w:val="00846FE7"/>
    <w:rsid w:val="008476C3"/>
    <w:rsid w:val="00850676"/>
    <w:rsid w:val="00850858"/>
    <w:rsid w:val="00850C01"/>
    <w:rsid w:val="00851291"/>
    <w:rsid w:val="0085199F"/>
    <w:rsid w:val="00852356"/>
    <w:rsid w:val="00852B43"/>
    <w:rsid w:val="00852CB5"/>
    <w:rsid w:val="00853628"/>
    <w:rsid w:val="00856911"/>
    <w:rsid w:val="00857023"/>
    <w:rsid w:val="00860B98"/>
    <w:rsid w:val="00862C4C"/>
    <w:rsid w:val="00863034"/>
    <w:rsid w:val="00863FA0"/>
    <w:rsid w:val="00865915"/>
    <w:rsid w:val="00865B0E"/>
    <w:rsid w:val="008667B0"/>
    <w:rsid w:val="00867064"/>
    <w:rsid w:val="0086775E"/>
    <w:rsid w:val="008677FD"/>
    <w:rsid w:val="00867A04"/>
    <w:rsid w:val="00867B20"/>
    <w:rsid w:val="00867E11"/>
    <w:rsid w:val="0087002A"/>
    <w:rsid w:val="008706D4"/>
    <w:rsid w:val="00870750"/>
    <w:rsid w:val="00870F8A"/>
    <w:rsid w:val="008714E9"/>
    <w:rsid w:val="008719A4"/>
    <w:rsid w:val="00871D23"/>
    <w:rsid w:val="00872030"/>
    <w:rsid w:val="008725E6"/>
    <w:rsid w:val="00872616"/>
    <w:rsid w:val="00872F69"/>
    <w:rsid w:val="008734DA"/>
    <w:rsid w:val="00874312"/>
    <w:rsid w:val="0087437C"/>
    <w:rsid w:val="00874565"/>
    <w:rsid w:val="00874743"/>
    <w:rsid w:val="008747E1"/>
    <w:rsid w:val="008749B6"/>
    <w:rsid w:val="00875122"/>
    <w:rsid w:val="00875126"/>
    <w:rsid w:val="00875CD7"/>
    <w:rsid w:val="00876402"/>
    <w:rsid w:val="0087681D"/>
    <w:rsid w:val="00876B4D"/>
    <w:rsid w:val="00876F6F"/>
    <w:rsid w:val="008776A7"/>
    <w:rsid w:val="00877B86"/>
    <w:rsid w:val="00877BDC"/>
    <w:rsid w:val="00877DB0"/>
    <w:rsid w:val="00877F18"/>
    <w:rsid w:val="00880486"/>
    <w:rsid w:val="00881378"/>
    <w:rsid w:val="00881851"/>
    <w:rsid w:val="00881879"/>
    <w:rsid w:val="0088189C"/>
    <w:rsid w:val="00881A29"/>
    <w:rsid w:val="00881B38"/>
    <w:rsid w:val="00882733"/>
    <w:rsid w:val="008833D0"/>
    <w:rsid w:val="0088393C"/>
    <w:rsid w:val="008903C6"/>
    <w:rsid w:val="00890498"/>
    <w:rsid w:val="0089053E"/>
    <w:rsid w:val="00891978"/>
    <w:rsid w:val="00891D39"/>
    <w:rsid w:val="008921ED"/>
    <w:rsid w:val="008925C7"/>
    <w:rsid w:val="008926DD"/>
    <w:rsid w:val="00893D03"/>
    <w:rsid w:val="00893D67"/>
    <w:rsid w:val="008944F1"/>
    <w:rsid w:val="00894A88"/>
    <w:rsid w:val="00895386"/>
    <w:rsid w:val="00896069"/>
    <w:rsid w:val="00896D45"/>
    <w:rsid w:val="00897A57"/>
    <w:rsid w:val="00897EEB"/>
    <w:rsid w:val="00897EF4"/>
    <w:rsid w:val="008A16EF"/>
    <w:rsid w:val="008A1717"/>
    <w:rsid w:val="008A1812"/>
    <w:rsid w:val="008A21FF"/>
    <w:rsid w:val="008A2CE2"/>
    <w:rsid w:val="008A30AC"/>
    <w:rsid w:val="008A3ACD"/>
    <w:rsid w:val="008A44B8"/>
    <w:rsid w:val="008A4BBB"/>
    <w:rsid w:val="008A5128"/>
    <w:rsid w:val="008A51A8"/>
    <w:rsid w:val="008A54C7"/>
    <w:rsid w:val="008A77D8"/>
    <w:rsid w:val="008A7B39"/>
    <w:rsid w:val="008A7DA2"/>
    <w:rsid w:val="008B0483"/>
    <w:rsid w:val="008B0D6E"/>
    <w:rsid w:val="008B120C"/>
    <w:rsid w:val="008B12E7"/>
    <w:rsid w:val="008B34B4"/>
    <w:rsid w:val="008B3916"/>
    <w:rsid w:val="008B512E"/>
    <w:rsid w:val="008B51A0"/>
    <w:rsid w:val="008B592A"/>
    <w:rsid w:val="008B59FF"/>
    <w:rsid w:val="008B6369"/>
    <w:rsid w:val="008B63ED"/>
    <w:rsid w:val="008B7B5C"/>
    <w:rsid w:val="008B7F82"/>
    <w:rsid w:val="008C0C99"/>
    <w:rsid w:val="008C10D0"/>
    <w:rsid w:val="008C18F8"/>
    <w:rsid w:val="008C2017"/>
    <w:rsid w:val="008C22B2"/>
    <w:rsid w:val="008C3CC5"/>
    <w:rsid w:val="008C3E44"/>
    <w:rsid w:val="008C4958"/>
    <w:rsid w:val="008C4BAA"/>
    <w:rsid w:val="008C5263"/>
    <w:rsid w:val="008C5543"/>
    <w:rsid w:val="008C60D0"/>
    <w:rsid w:val="008C6AE8"/>
    <w:rsid w:val="008C7268"/>
    <w:rsid w:val="008C7573"/>
    <w:rsid w:val="008C75D3"/>
    <w:rsid w:val="008C769E"/>
    <w:rsid w:val="008C7C7A"/>
    <w:rsid w:val="008D0475"/>
    <w:rsid w:val="008D10E5"/>
    <w:rsid w:val="008D284F"/>
    <w:rsid w:val="008D34F1"/>
    <w:rsid w:val="008D39D8"/>
    <w:rsid w:val="008D3E22"/>
    <w:rsid w:val="008D5ACA"/>
    <w:rsid w:val="008D5BB5"/>
    <w:rsid w:val="008D5D9C"/>
    <w:rsid w:val="008D6D1A"/>
    <w:rsid w:val="008D6F50"/>
    <w:rsid w:val="008D7D5B"/>
    <w:rsid w:val="008D7D7F"/>
    <w:rsid w:val="008E065E"/>
    <w:rsid w:val="008E0927"/>
    <w:rsid w:val="008E17E6"/>
    <w:rsid w:val="008E1909"/>
    <w:rsid w:val="008E2A39"/>
    <w:rsid w:val="008E36E0"/>
    <w:rsid w:val="008E4A3F"/>
    <w:rsid w:val="008E5210"/>
    <w:rsid w:val="008E596B"/>
    <w:rsid w:val="008E6B39"/>
    <w:rsid w:val="008E7760"/>
    <w:rsid w:val="008E78EE"/>
    <w:rsid w:val="008F0EA4"/>
    <w:rsid w:val="008F0EB6"/>
    <w:rsid w:val="008F1158"/>
    <w:rsid w:val="008F11C5"/>
    <w:rsid w:val="008F1202"/>
    <w:rsid w:val="008F1EAB"/>
    <w:rsid w:val="008F20F3"/>
    <w:rsid w:val="008F2766"/>
    <w:rsid w:val="008F2B37"/>
    <w:rsid w:val="008F2BE9"/>
    <w:rsid w:val="008F33DC"/>
    <w:rsid w:val="008F38FF"/>
    <w:rsid w:val="008F477F"/>
    <w:rsid w:val="008F6C3E"/>
    <w:rsid w:val="008F7255"/>
    <w:rsid w:val="00901253"/>
    <w:rsid w:val="009016DC"/>
    <w:rsid w:val="00902350"/>
    <w:rsid w:val="00903032"/>
    <w:rsid w:val="009032C4"/>
    <w:rsid w:val="0090336B"/>
    <w:rsid w:val="009038DA"/>
    <w:rsid w:val="009053AA"/>
    <w:rsid w:val="00906939"/>
    <w:rsid w:val="00906B35"/>
    <w:rsid w:val="009101ED"/>
    <w:rsid w:val="009108AD"/>
    <w:rsid w:val="00910B7D"/>
    <w:rsid w:val="009111F8"/>
    <w:rsid w:val="009115DD"/>
    <w:rsid w:val="00911D8D"/>
    <w:rsid w:val="00911DFB"/>
    <w:rsid w:val="00913251"/>
    <w:rsid w:val="009137D2"/>
    <w:rsid w:val="009139D9"/>
    <w:rsid w:val="0091427A"/>
    <w:rsid w:val="00914AD8"/>
    <w:rsid w:val="009158BA"/>
    <w:rsid w:val="00915D85"/>
    <w:rsid w:val="0091605B"/>
    <w:rsid w:val="00916079"/>
    <w:rsid w:val="00917CE9"/>
    <w:rsid w:val="00920BF2"/>
    <w:rsid w:val="009214C9"/>
    <w:rsid w:val="00922010"/>
    <w:rsid w:val="009220ED"/>
    <w:rsid w:val="00922917"/>
    <w:rsid w:val="00922BBE"/>
    <w:rsid w:val="00923C7D"/>
    <w:rsid w:val="00926BD7"/>
    <w:rsid w:val="009273B4"/>
    <w:rsid w:val="0092755E"/>
    <w:rsid w:val="00927750"/>
    <w:rsid w:val="0092790A"/>
    <w:rsid w:val="00930130"/>
    <w:rsid w:val="009306DC"/>
    <w:rsid w:val="00930A89"/>
    <w:rsid w:val="00930D17"/>
    <w:rsid w:val="00931312"/>
    <w:rsid w:val="00931389"/>
    <w:rsid w:val="00931BD9"/>
    <w:rsid w:val="00932518"/>
    <w:rsid w:val="0093299A"/>
    <w:rsid w:val="00932B5F"/>
    <w:rsid w:val="00934EA8"/>
    <w:rsid w:val="00935634"/>
    <w:rsid w:val="00935C0A"/>
    <w:rsid w:val="00935E7A"/>
    <w:rsid w:val="009367A6"/>
    <w:rsid w:val="009368F3"/>
    <w:rsid w:val="00937CB3"/>
    <w:rsid w:val="0094007B"/>
    <w:rsid w:val="00940F0A"/>
    <w:rsid w:val="00941576"/>
    <w:rsid w:val="00941636"/>
    <w:rsid w:val="00942064"/>
    <w:rsid w:val="00943742"/>
    <w:rsid w:val="00943808"/>
    <w:rsid w:val="0094578B"/>
    <w:rsid w:val="00945C05"/>
    <w:rsid w:val="00946945"/>
    <w:rsid w:val="00947713"/>
    <w:rsid w:val="00950DE7"/>
    <w:rsid w:val="0095236B"/>
    <w:rsid w:val="0095252B"/>
    <w:rsid w:val="0095278E"/>
    <w:rsid w:val="00952845"/>
    <w:rsid w:val="009538DF"/>
    <w:rsid w:val="00953920"/>
    <w:rsid w:val="00953D47"/>
    <w:rsid w:val="00956515"/>
    <w:rsid w:val="0095681E"/>
    <w:rsid w:val="009570B3"/>
    <w:rsid w:val="009572D4"/>
    <w:rsid w:val="00957500"/>
    <w:rsid w:val="00960A87"/>
    <w:rsid w:val="00961849"/>
    <w:rsid w:val="00961921"/>
    <w:rsid w:val="009636E6"/>
    <w:rsid w:val="00963969"/>
    <w:rsid w:val="00964115"/>
    <w:rsid w:val="00964280"/>
    <w:rsid w:val="0096430A"/>
    <w:rsid w:val="0096554B"/>
    <w:rsid w:val="0096584A"/>
    <w:rsid w:val="00966AD4"/>
    <w:rsid w:val="00966DCE"/>
    <w:rsid w:val="00967F11"/>
    <w:rsid w:val="00970457"/>
    <w:rsid w:val="009707A1"/>
    <w:rsid w:val="00970ACA"/>
    <w:rsid w:val="00971061"/>
    <w:rsid w:val="0097165B"/>
    <w:rsid w:val="00971F08"/>
    <w:rsid w:val="00972853"/>
    <w:rsid w:val="00974289"/>
    <w:rsid w:val="0097544D"/>
    <w:rsid w:val="009755A6"/>
    <w:rsid w:val="0097603D"/>
    <w:rsid w:val="0097661E"/>
    <w:rsid w:val="00976949"/>
    <w:rsid w:val="00976AA0"/>
    <w:rsid w:val="00976C38"/>
    <w:rsid w:val="00976CDD"/>
    <w:rsid w:val="00977A2E"/>
    <w:rsid w:val="00980477"/>
    <w:rsid w:val="00980BE2"/>
    <w:rsid w:val="00982568"/>
    <w:rsid w:val="00982C60"/>
    <w:rsid w:val="00982CF7"/>
    <w:rsid w:val="0098368F"/>
    <w:rsid w:val="009841DB"/>
    <w:rsid w:val="00985253"/>
    <w:rsid w:val="009853B3"/>
    <w:rsid w:val="00986849"/>
    <w:rsid w:val="00986AD1"/>
    <w:rsid w:val="00987DC5"/>
    <w:rsid w:val="00990630"/>
    <w:rsid w:val="00990C06"/>
    <w:rsid w:val="00991761"/>
    <w:rsid w:val="009923CD"/>
    <w:rsid w:val="00993AB8"/>
    <w:rsid w:val="00994DCA"/>
    <w:rsid w:val="00995D1C"/>
    <w:rsid w:val="009960EC"/>
    <w:rsid w:val="00996169"/>
    <w:rsid w:val="009964D7"/>
    <w:rsid w:val="009966BF"/>
    <w:rsid w:val="00996FE8"/>
    <w:rsid w:val="009970DD"/>
    <w:rsid w:val="00997240"/>
    <w:rsid w:val="00997443"/>
    <w:rsid w:val="009A04D8"/>
    <w:rsid w:val="009A0FBA"/>
    <w:rsid w:val="009A1601"/>
    <w:rsid w:val="009A16A0"/>
    <w:rsid w:val="009A1B30"/>
    <w:rsid w:val="009A2111"/>
    <w:rsid w:val="009A462D"/>
    <w:rsid w:val="009A4D86"/>
    <w:rsid w:val="009A56E1"/>
    <w:rsid w:val="009A5CBA"/>
    <w:rsid w:val="009A6BCA"/>
    <w:rsid w:val="009A7304"/>
    <w:rsid w:val="009A76E2"/>
    <w:rsid w:val="009A794E"/>
    <w:rsid w:val="009A7958"/>
    <w:rsid w:val="009A7C0B"/>
    <w:rsid w:val="009B0A7D"/>
    <w:rsid w:val="009B1B39"/>
    <w:rsid w:val="009B1DC1"/>
    <w:rsid w:val="009B1F30"/>
    <w:rsid w:val="009B318A"/>
    <w:rsid w:val="009B3AC2"/>
    <w:rsid w:val="009B4155"/>
    <w:rsid w:val="009B443E"/>
    <w:rsid w:val="009B4B07"/>
    <w:rsid w:val="009B4DF4"/>
    <w:rsid w:val="009B564E"/>
    <w:rsid w:val="009B5960"/>
    <w:rsid w:val="009B5BB6"/>
    <w:rsid w:val="009B64E5"/>
    <w:rsid w:val="009B66C2"/>
    <w:rsid w:val="009B69C8"/>
    <w:rsid w:val="009B7E87"/>
    <w:rsid w:val="009C0F06"/>
    <w:rsid w:val="009C2615"/>
    <w:rsid w:val="009C3902"/>
    <w:rsid w:val="009C3A59"/>
    <w:rsid w:val="009C3ED6"/>
    <w:rsid w:val="009C403E"/>
    <w:rsid w:val="009C420C"/>
    <w:rsid w:val="009C43C3"/>
    <w:rsid w:val="009C6BF4"/>
    <w:rsid w:val="009D18D3"/>
    <w:rsid w:val="009D1F23"/>
    <w:rsid w:val="009D219C"/>
    <w:rsid w:val="009D21AE"/>
    <w:rsid w:val="009D2DB9"/>
    <w:rsid w:val="009D3DA2"/>
    <w:rsid w:val="009D428C"/>
    <w:rsid w:val="009D4FF0"/>
    <w:rsid w:val="009D5954"/>
    <w:rsid w:val="009D5A82"/>
    <w:rsid w:val="009D64F0"/>
    <w:rsid w:val="009D669F"/>
    <w:rsid w:val="009D6C4D"/>
    <w:rsid w:val="009D6D0E"/>
    <w:rsid w:val="009D703C"/>
    <w:rsid w:val="009D7043"/>
    <w:rsid w:val="009D718F"/>
    <w:rsid w:val="009D7664"/>
    <w:rsid w:val="009D7743"/>
    <w:rsid w:val="009D7FE4"/>
    <w:rsid w:val="009E0071"/>
    <w:rsid w:val="009E068F"/>
    <w:rsid w:val="009E14E0"/>
    <w:rsid w:val="009E35DB"/>
    <w:rsid w:val="009E3C40"/>
    <w:rsid w:val="009E47A3"/>
    <w:rsid w:val="009E47EB"/>
    <w:rsid w:val="009E5285"/>
    <w:rsid w:val="009E5302"/>
    <w:rsid w:val="009E58F8"/>
    <w:rsid w:val="009E6F26"/>
    <w:rsid w:val="009F0646"/>
    <w:rsid w:val="009F08F3"/>
    <w:rsid w:val="009F0A0B"/>
    <w:rsid w:val="009F1431"/>
    <w:rsid w:val="009F1FB6"/>
    <w:rsid w:val="009F21E7"/>
    <w:rsid w:val="009F344F"/>
    <w:rsid w:val="009F35B4"/>
    <w:rsid w:val="009F4192"/>
    <w:rsid w:val="009F64AA"/>
    <w:rsid w:val="009F7207"/>
    <w:rsid w:val="00A001FE"/>
    <w:rsid w:val="00A00F39"/>
    <w:rsid w:val="00A01400"/>
    <w:rsid w:val="00A0284B"/>
    <w:rsid w:val="00A028ED"/>
    <w:rsid w:val="00A03216"/>
    <w:rsid w:val="00A039A0"/>
    <w:rsid w:val="00A03EA7"/>
    <w:rsid w:val="00A048A8"/>
    <w:rsid w:val="00A04F49"/>
    <w:rsid w:val="00A06BFD"/>
    <w:rsid w:val="00A075EA"/>
    <w:rsid w:val="00A07C9B"/>
    <w:rsid w:val="00A13E54"/>
    <w:rsid w:val="00A14555"/>
    <w:rsid w:val="00A1488D"/>
    <w:rsid w:val="00A1506E"/>
    <w:rsid w:val="00A1642D"/>
    <w:rsid w:val="00A17F63"/>
    <w:rsid w:val="00A200B3"/>
    <w:rsid w:val="00A212CA"/>
    <w:rsid w:val="00A2193B"/>
    <w:rsid w:val="00A222D5"/>
    <w:rsid w:val="00A22AA0"/>
    <w:rsid w:val="00A2320C"/>
    <w:rsid w:val="00A2351A"/>
    <w:rsid w:val="00A23A19"/>
    <w:rsid w:val="00A23B28"/>
    <w:rsid w:val="00A248FA"/>
    <w:rsid w:val="00A25615"/>
    <w:rsid w:val="00A2565C"/>
    <w:rsid w:val="00A2569B"/>
    <w:rsid w:val="00A26267"/>
    <w:rsid w:val="00A264A9"/>
    <w:rsid w:val="00A27298"/>
    <w:rsid w:val="00A27785"/>
    <w:rsid w:val="00A277FF"/>
    <w:rsid w:val="00A30187"/>
    <w:rsid w:val="00A3448A"/>
    <w:rsid w:val="00A34631"/>
    <w:rsid w:val="00A34A39"/>
    <w:rsid w:val="00A356E1"/>
    <w:rsid w:val="00A35D21"/>
    <w:rsid w:val="00A36297"/>
    <w:rsid w:val="00A3642C"/>
    <w:rsid w:val="00A36950"/>
    <w:rsid w:val="00A371A5"/>
    <w:rsid w:val="00A37553"/>
    <w:rsid w:val="00A37A23"/>
    <w:rsid w:val="00A406C6"/>
    <w:rsid w:val="00A4134B"/>
    <w:rsid w:val="00A41E2B"/>
    <w:rsid w:val="00A4231B"/>
    <w:rsid w:val="00A4311E"/>
    <w:rsid w:val="00A437AE"/>
    <w:rsid w:val="00A43DE8"/>
    <w:rsid w:val="00A443B0"/>
    <w:rsid w:val="00A447A5"/>
    <w:rsid w:val="00A44883"/>
    <w:rsid w:val="00A451DE"/>
    <w:rsid w:val="00A457F4"/>
    <w:rsid w:val="00A45B74"/>
    <w:rsid w:val="00A463A6"/>
    <w:rsid w:val="00A46482"/>
    <w:rsid w:val="00A471C3"/>
    <w:rsid w:val="00A50C54"/>
    <w:rsid w:val="00A50FA0"/>
    <w:rsid w:val="00A50FC8"/>
    <w:rsid w:val="00A510D0"/>
    <w:rsid w:val="00A512EF"/>
    <w:rsid w:val="00A513F9"/>
    <w:rsid w:val="00A51425"/>
    <w:rsid w:val="00A5184F"/>
    <w:rsid w:val="00A519D5"/>
    <w:rsid w:val="00A51CC7"/>
    <w:rsid w:val="00A52E1D"/>
    <w:rsid w:val="00A532A2"/>
    <w:rsid w:val="00A5361C"/>
    <w:rsid w:val="00A55BA2"/>
    <w:rsid w:val="00A56C65"/>
    <w:rsid w:val="00A57172"/>
    <w:rsid w:val="00A60FE2"/>
    <w:rsid w:val="00A61499"/>
    <w:rsid w:val="00A62149"/>
    <w:rsid w:val="00A62260"/>
    <w:rsid w:val="00A62A77"/>
    <w:rsid w:val="00A6327D"/>
    <w:rsid w:val="00A63483"/>
    <w:rsid w:val="00A637D4"/>
    <w:rsid w:val="00A6475E"/>
    <w:rsid w:val="00A657D7"/>
    <w:rsid w:val="00A65F7B"/>
    <w:rsid w:val="00A660AC"/>
    <w:rsid w:val="00A66B44"/>
    <w:rsid w:val="00A66C31"/>
    <w:rsid w:val="00A66D45"/>
    <w:rsid w:val="00A67818"/>
    <w:rsid w:val="00A67CE7"/>
    <w:rsid w:val="00A67E6C"/>
    <w:rsid w:val="00A7022C"/>
    <w:rsid w:val="00A705D7"/>
    <w:rsid w:val="00A71B99"/>
    <w:rsid w:val="00A72A8E"/>
    <w:rsid w:val="00A739D0"/>
    <w:rsid w:val="00A74CD2"/>
    <w:rsid w:val="00A74DDC"/>
    <w:rsid w:val="00A74FE5"/>
    <w:rsid w:val="00A7533F"/>
    <w:rsid w:val="00A759C4"/>
    <w:rsid w:val="00A761D4"/>
    <w:rsid w:val="00A7626E"/>
    <w:rsid w:val="00A770A8"/>
    <w:rsid w:val="00A77EC4"/>
    <w:rsid w:val="00A804A4"/>
    <w:rsid w:val="00A8150D"/>
    <w:rsid w:val="00A82E99"/>
    <w:rsid w:val="00A845C0"/>
    <w:rsid w:val="00A84633"/>
    <w:rsid w:val="00A84BC4"/>
    <w:rsid w:val="00A8686B"/>
    <w:rsid w:val="00A868DA"/>
    <w:rsid w:val="00A86AD6"/>
    <w:rsid w:val="00A86C39"/>
    <w:rsid w:val="00A87592"/>
    <w:rsid w:val="00A87FB0"/>
    <w:rsid w:val="00A9013E"/>
    <w:rsid w:val="00A92156"/>
    <w:rsid w:val="00A92719"/>
    <w:rsid w:val="00A92879"/>
    <w:rsid w:val="00A92A6B"/>
    <w:rsid w:val="00A92DC0"/>
    <w:rsid w:val="00A933B4"/>
    <w:rsid w:val="00A94052"/>
    <w:rsid w:val="00A94299"/>
    <w:rsid w:val="00A9442A"/>
    <w:rsid w:val="00A9563C"/>
    <w:rsid w:val="00A95AA7"/>
    <w:rsid w:val="00A9601F"/>
    <w:rsid w:val="00A96AE7"/>
    <w:rsid w:val="00A9775E"/>
    <w:rsid w:val="00A97772"/>
    <w:rsid w:val="00AA0001"/>
    <w:rsid w:val="00AA016F"/>
    <w:rsid w:val="00AA0CD9"/>
    <w:rsid w:val="00AA1ED6"/>
    <w:rsid w:val="00AA26B7"/>
    <w:rsid w:val="00AA2AA7"/>
    <w:rsid w:val="00AA2FB3"/>
    <w:rsid w:val="00AA380B"/>
    <w:rsid w:val="00AA3DE2"/>
    <w:rsid w:val="00AA51D6"/>
    <w:rsid w:val="00AA5812"/>
    <w:rsid w:val="00AA6711"/>
    <w:rsid w:val="00AA6C50"/>
    <w:rsid w:val="00AA72AF"/>
    <w:rsid w:val="00AA7B3C"/>
    <w:rsid w:val="00AB072A"/>
    <w:rsid w:val="00AB0BC8"/>
    <w:rsid w:val="00AB101D"/>
    <w:rsid w:val="00AB11CA"/>
    <w:rsid w:val="00AB12D8"/>
    <w:rsid w:val="00AB14D9"/>
    <w:rsid w:val="00AB167E"/>
    <w:rsid w:val="00AB20EF"/>
    <w:rsid w:val="00AB2307"/>
    <w:rsid w:val="00AB2A83"/>
    <w:rsid w:val="00AB2AFF"/>
    <w:rsid w:val="00AB4183"/>
    <w:rsid w:val="00AB420E"/>
    <w:rsid w:val="00AB431C"/>
    <w:rsid w:val="00AB4AB8"/>
    <w:rsid w:val="00AB4C01"/>
    <w:rsid w:val="00AB5A1A"/>
    <w:rsid w:val="00AB5CBA"/>
    <w:rsid w:val="00AB655E"/>
    <w:rsid w:val="00AB6952"/>
    <w:rsid w:val="00AB6ABF"/>
    <w:rsid w:val="00AB6CC7"/>
    <w:rsid w:val="00AB6E1E"/>
    <w:rsid w:val="00AB7269"/>
    <w:rsid w:val="00AC007F"/>
    <w:rsid w:val="00AC0ADD"/>
    <w:rsid w:val="00AC0C50"/>
    <w:rsid w:val="00AC2035"/>
    <w:rsid w:val="00AC221C"/>
    <w:rsid w:val="00AC23D1"/>
    <w:rsid w:val="00AC2ECD"/>
    <w:rsid w:val="00AC3119"/>
    <w:rsid w:val="00AC3852"/>
    <w:rsid w:val="00AC49FB"/>
    <w:rsid w:val="00AC50E1"/>
    <w:rsid w:val="00AC526C"/>
    <w:rsid w:val="00AC5A10"/>
    <w:rsid w:val="00AC7341"/>
    <w:rsid w:val="00AC7D0E"/>
    <w:rsid w:val="00AD0AA3"/>
    <w:rsid w:val="00AD0CF0"/>
    <w:rsid w:val="00AD1DDA"/>
    <w:rsid w:val="00AD1E31"/>
    <w:rsid w:val="00AD1EC5"/>
    <w:rsid w:val="00AD2410"/>
    <w:rsid w:val="00AD283A"/>
    <w:rsid w:val="00AD3216"/>
    <w:rsid w:val="00AD34EE"/>
    <w:rsid w:val="00AD3519"/>
    <w:rsid w:val="00AD3F94"/>
    <w:rsid w:val="00AD40D8"/>
    <w:rsid w:val="00AD451A"/>
    <w:rsid w:val="00AD4A5A"/>
    <w:rsid w:val="00AD56E0"/>
    <w:rsid w:val="00AD6296"/>
    <w:rsid w:val="00AD6538"/>
    <w:rsid w:val="00AD784B"/>
    <w:rsid w:val="00AE002A"/>
    <w:rsid w:val="00AE128E"/>
    <w:rsid w:val="00AE13B8"/>
    <w:rsid w:val="00AE19A8"/>
    <w:rsid w:val="00AE27A5"/>
    <w:rsid w:val="00AE27AC"/>
    <w:rsid w:val="00AE2834"/>
    <w:rsid w:val="00AE2DE1"/>
    <w:rsid w:val="00AE3C65"/>
    <w:rsid w:val="00AE40E0"/>
    <w:rsid w:val="00AE4DBA"/>
    <w:rsid w:val="00AE4F07"/>
    <w:rsid w:val="00AE55A0"/>
    <w:rsid w:val="00AE5B7F"/>
    <w:rsid w:val="00AE5F10"/>
    <w:rsid w:val="00AE6333"/>
    <w:rsid w:val="00AE6C6D"/>
    <w:rsid w:val="00AF09CB"/>
    <w:rsid w:val="00AF194B"/>
    <w:rsid w:val="00AF1C5D"/>
    <w:rsid w:val="00AF2463"/>
    <w:rsid w:val="00AF3197"/>
    <w:rsid w:val="00AF33B6"/>
    <w:rsid w:val="00AF38EC"/>
    <w:rsid w:val="00AF42D7"/>
    <w:rsid w:val="00AF55D3"/>
    <w:rsid w:val="00AF56AF"/>
    <w:rsid w:val="00B006FE"/>
    <w:rsid w:val="00B007CB"/>
    <w:rsid w:val="00B0098A"/>
    <w:rsid w:val="00B00A97"/>
    <w:rsid w:val="00B02AA9"/>
    <w:rsid w:val="00B02F11"/>
    <w:rsid w:val="00B02FA3"/>
    <w:rsid w:val="00B05084"/>
    <w:rsid w:val="00B05477"/>
    <w:rsid w:val="00B05709"/>
    <w:rsid w:val="00B059E5"/>
    <w:rsid w:val="00B06459"/>
    <w:rsid w:val="00B06E0D"/>
    <w:rsid w:val="00B07456"/>
    <w:rsid w:val="00B10321"/>
    <w:rsid w:val="00B108F6"/>
    <w:rsid w:val="00B109C8"/>
    <w:rsid w:val="00B10C00"/>
    <w:rsid w:val="00B11360"/>
    <w:rsid w:val="00B11A50"/>
    <w:rsid w:val="00B12A08"/>
    <w:rsid w:val="00B131F3"/>
    <w:rsid w:val="00B13B8D"/>
    <w:rsid w:val="00B13D27"/>
    <w:rsid w:val="00B13EE6"/>
    <w:rsid w:val="00B147DD"/>
    <w:rsid w:val="00B152C5"/>
    <w:rsid w:val="00B157F9"/>
    <w:rsid w:val="00B16987"/>
    <w:rsid w:val="00B16FC2"/>
    <w:rsid w:val="00B1721D"/>
    <w:rsid w:val="00B172DE"/>
    <w:rsid w:val="00B17648"/>
    <w:rsid w:val="00B20256"/>
    <w:rsid w:val="00B2090E"/>
    <w:rsid w:val="00B20D09"/>
    <w:rsid w:val="00B21A64"/>
    <w:rsid w:val="00B22450"/>
    <w:rsid w:val="00B22CEC"/>
    <w:rsid w:val="00B2358E"/>
    <w:rsid w:val="00B2375E"/>
    <w:rsid w:val="00B23C56"/>
    <w:rsid w:val="00B240C2"/>
    <w:rsid w:val="00B24257"/>
    <w:rsid w:val="00B2441E"/>
    <w:rsid w:val="00B251B6"/>
    <w:rsid w:val="00B2763F"/>
    <w:rsid w:val="00B27AAC"/>
    <w:rsid w:val="00B304F3"/>
    <w:rsid w:val="00B30929"/>
    <w:rsid w:val="00B30A74"/>
    <w:rsid w:val="00B30BD2"/>
    <w:rsid w:val="00B31051"/>
    <w:rsid w:val="00B31176"/>
    <w:rsid w:val="00B31367"/>
    <w:rsid w:val="00B31844"/>
    <w:rsid w:val="00B31928"/>
    <w:rsid w:val="00B31A27"/>
    <w:rsid w:val="00B31A8E"/>
    <w:rsid w:val="00B33B92"/>
    <w:rsid w:val="00B342AD"/>
    <w:rsid w:val="00B3615D"/>
    <w:rsid w:val="00B3658B"/>
    <w:rsid w:val="00B372AA"/>
    <w:rsid w:val="00B3774B"/>
    <w:rsid w:val="00B40445"/>
    <w:rsid w:val="00B405D9"/>
    <w:rsid w:val="00B408FF"/>
    <w:rsid w:val="00B40BEF"/>
    <w:rsid w:val="00B41888"/>
    <w:rsid w:val="00B41AF1"/>
    <w:rsid w:val="00B42A71"/>
    <w:rsid w:val="00B42A92"/>
    <w:rsid w:val="00B458EF"/>
    <w:rsid w:val="00B45A52"/>
    <w:rsid w:val="00B46175"/>
    <w:rsid w:val="00B506A2"/>
    <w:rsid w:val="00B517C6"/>
    <w:rsid w:val="00B51B91"/>
    <w:rsid w:val="00B51DE9"/>
    <w:rsid w:val="00B5392B"/>
    <w:rsid w:val="00B5440A"/>
    <w:rsid w:val="00B54DCF"/>
    <w:rsid w:val="00B5529F"/>
    <w:rsid w:val="00B574E1"/>
    <w:rsid w:val="00B57886"/>
    <w:rsid w:val="00B57F7E"/>
    <w:rsid w:val="00B60ED0"/>
    <w:rsid w:val="00B6188F"/>
    <w:rsid w:val="00B63B96"/>
    <w:rsid w:val="00B6443B"/>
    <w:rsid w:val="00B6613E"/>
    <w:rsid w:val="00B664C7"/>
    <w:rsid w:val="00B66B2F"/>
    <w:rsid w:val="00B7039F"/>
    <w:rsid w:val="00B70EA6"/>
    <w:rsid w:val="00B710ED"/>
    <w:rsid w:val="00B714D6"/>
    <w:rsid w:val="00B723D1"/>
    <w:rsid w:val="00B739F6"/>
    <w:rsid w:val="00B73EC9"/>
    <w:rsid w:val="00B74FA4"/>
    <w:rsid w:val="00B75F96"/>
    <w:rsid w:val="00B7649B"/>
    <w:rsid w:val="00B768BD"/>
    <w:rsid w:val="00B7767B"/>
    <w:rsid w:val="00B77E3C"/>
    <w:rsid w:val="00B80A75"/>
    <w:rsid w:val="00B81A6C"/>
    <w:rsid w:val="00B8293F"/>
    <w:rsid w:val="00B835C1"/>
    <w:rsid w:val="00B84E1E"/>
    <w:rsid w:val="00B8585A"/>
    <w:rsid w:val="00B85DE5"/>
    <w:rsid w:val="00B85FAF"/>
    <w:rsid w:val="00B868C8"/>
    <w:rsid w:val="00B87D59"/>
    <w:rsid w:val="00B9070B"/>
    <w:rsid w:val="00B9075C"/>
    <w:rsid w:val="00B909BE"/>
    <w:rsid w:val="00B90F73"/>
    <w:rsid w:val="00B917C3"/>
    <w:rsid w:val="00B9282F"/>
    <w:rsid w:val="00B928D0"/>
    <w:rsid w:val="00B93B59"/>
    <w:rsid w:val="00B9406A"/>
    <w:rsid w:val="00B942A7"/>
    <w:rsid w:val="00B944AC"/>
    <w:rsid w:val="00B954A0"/>
    <w:rsid w:val="00B95AAC"/>
    <w:rsid w:val="00B964A8"/>
    <w:rsid w:val="00B9656E"/>
    <w:rsid w:val="00B97752"/>
    <w:rsid w:val="00BA0067"/>
    <w:rsid w:val="00BA0818"/>
    <w:rsid w:val="00BA0A86"/>
    <w:rsid w:val="00BA0E3B"/>
    <w:rsid w:val="00BA13D2"/>
    <w:rsid w:val="00BA1D89"/>
    <w:rsid w:val="00BA2280"/>
    <w:rsid w:val="00BA2A08"/>
    <w:rsid w:val="00BA484E"/>
    <w:rsid w:val="00BA56D2"/>
    <w:rsid w:val="00BA5F16"/>
    <w:rsid w:val="00BA76E0"/>
    <w:rsid w:val="00BB0F85"/>
    <w:rsid w:val="00BB283E"/>
    <w:rsid w:val="00BB2A25"/>
    <w:rsid w:val="00BB2E70"/>
    <w:rsid w:val="00BB33DF"/>
    <w:rsid w:val="00BB3FC8"/>
    <w:rsid w:val="00BB4316"/>
    <w:rsid w:val="00BB5182"/>
    <w:rsid w:val="00BB51E9"/>
    <w:rsid w:val="00BB560E"/>
    <w:rsid w:val="00BB5BBB"/>
    <w:rsid w:val="00BB5BBD"/>
    <w:rsid w:val="00BB5D0D"/>
    <w:rsid w:val="00BB6360"/>
    <w:rsid w:val="00BB725D"/>
    <w:rsid w:val="00BC0B2A"/>
    <w:rsid w:val="00BC0E71"/>
    <w:rsid w:val="00BC0FDC"/>
    <w:rsid w:val="00BC1E67"/>
    <w:rsid w:val="00BC28DF"/>
    <w:rsid w:val="00BC29D3"/>
    <w:rsid w:val="00BC3053"/>
    <w:rsid w:val="00BC3794"/>
    <w:rsid w:val="00BC4D2E"/>
    <w:rsid w:val="00BC4E43"/>
    <w:rsid w:val="00BC6B50"/>
    <w:rsid w:val="00BC6CCB"/>
    <w:rsid w:val="00BC749C"/>
    <w:rsid w:val="00BD0106"/>
    <w:rsid w:val="00BD0222"/>
    <w:rsid w:val="00BD12C3"/>
    <w:rsid w:val="00BD2279"/>
    <w:rsid w:val="00BD22B1"/>
    <w:rsid w:val="00BD2557"/>
    <w:rsid w:val="00BD2CF5"/>
    <w:rsid w:val="00BD48AC"/>
    <w:rsid w:val="00BD4ADF"/>
    <w:rsid w:val="00BD5F1A"/>
    <w:rsid w:val="00BD677F"/>
    <w:rsid w:val="00BD7BE3"/>
    <w:rsid w:val="00BE0622"/>
    <w:rsid w:val="00BE0DB2"/>
    <w:rsid w:val="00BE0DD7"/>
    <w:rsid w:val="00BE1234"/>
    <w:rsid w:val="00BE1C2D"/>
    <w:rsid w:val="00BE21B7"/>
    <w:rsid w:val="00BE2FA6"/>
    <w:rsid w:val="00BE333F"/>
    <w:rsid w:val="00BE3CF3"/>
    <w:rsid w:val="00BE3E64"/>
    <w:rsid w:val="00BE50B4"/>
    <w:rsid w:val="00BE603F"/>
    <w:rsid w:val="00BE6C36"/>
    <w:rsid w:val="00BE7406"/>
    <w:rsid w:val="00BE7603"/>
    <w:rsid w:val="00BF08A0"/>
    <w:rsid w:val="00BF11A4"/>
    <w:rsid w:val="00BF1A4F"/>
    <w:rsid w:val="00BF2DA6"/>
    <w:rsid w:val="00BF3279"/>
    <w:rsid w:val="00BF35AF"/>
    <w:rsid w:val="00BF53BB"/>
    <w:rsid w:val="00BF55A5"/>
    <w:rsid w:val="00BF5D67"/>
    <w:rsid w:val="00BF6EA6"/>
    <w:rsid w:val="00BF74C7"/>
    <w:rsid w:val="00BF7A4F"/>
    <w:rsid w:val="00BF7D5A"/>
    <w:rsid w:val="00C004AD"/>
    <w:rsid w:val="00C015F1"/>
    <w:rsid w:val="00C01868"/>
    <w:rsid w:val="00C01F33"/>
    <w:rsid w:val="00C02CC6"/>
    <w:rsid w:val="00C02FAF"/>
    <w:rsid w:val="00C0344E"/>
    <w:rsid w:val="00C0364A"/>
    <w:rsid w:val="00C040F7"/>
    <w:rsid w:val="00C041B0"/>
    <w:rsid w:val="00C044AB"/>
    <w:rsid w:val="00C044E0"/>
    <w:rsid w:val="00C04FC3"/>
    <w:rsid w:val="00C05551"/>
    <w:rsid w:val="00C05706"/>
    <w:rsid w:val="00C07377"/>
    <w:rsid w:val="00C10478"/>
    <w:rsid w:val="00C105C6"/>
    <w:rsid w:val="00C10E58"/>
    <w:rsid w:val="00C113FD"/>
    <w:rsid w:val="00C118EE"/>
    <w:rsid w:val="00C12107"/>
    <w:rsid w:val="00C12877"/>
    <w:rsid w:val="00C12949"/>
    <w:rsid w:val="00C1301B"/>
    <w:rsid w:val="00C148F9"/>
    <w:rsid w:val="00C14C0C"/>
    <w:rsid w:val="00C14D4B"/>
    <w:rsid w:val="00C154BB"/>
    <w:rsid w:val="00C16000"/>
    <w:rsid w:val="00C1613A"/>
    <w:rsid w:val="00C1751F"/>
    <w:rsid w:val="00C17A6B"/>
    <w:rsid w:val="00C20500"/>
    <w:rsid w:val="00C20856"/>
    <w:rsid w:val="00C211B1"/>
    <w:rsid w:val="00C237B7"/>
    <w:rsid w:val="00C23E4E"/>
    <w:rsid w:val="00C23E55"/>
    <w:rsid w:val="00C23E8E"/>
    <w:rsid w:val="00C2445D"/>
    <w:rsid w:val="00C24F4B"/>
    <w:rsid w:val="00C273EC"/>
    <w:rsid w:val="00C279B5"/>
    <w:rsid w:val="00C27C45"/>
    <w:rsid w:val="00C304D8"/>
    <w:rsid w:val="00C30D15"/>
    <w:rsid w:val="00C32138"/>
    <w:rsid w:val="00C323F8"/>
    <w:rsid w:val="00C328E9"/>
    <w:rsid w:val="00C3328B"/>
    <w:rsid w:val="00C34289"/>
    <w:rsid w:val="00C344E1"/>
    <w:rsid w:val="00C349BF"/>
    <w:rsid w:val="00C35108"/>
    <w:rsid w:val="00C35341"/>
    <w:rsid w:val="00C3682C"/>
    <w:rsid w:val="00C36D1B"/>
    <w:rsid w:val="00C3719D"/>
    <w:rsid w:val="00C377FB"/>
    <w:rsid w:val="00C40E7F"/>
    <w:rsid w:val="00C41728"/>
    <w:rsid w:val="00C4220C"/>
    <w:rsid w:val="00C42CD4"/>
    <w:rsid w:val="00C45103"/>
    <w:rsid w:val="00C46BD8"/>
    <w:rsid w:val="00C4740E"/>
    <w:rsid w:val="00C4799A"/>
    <w:rsid w:val="00C503C8"/>
    <w:rsid w:val="00C51405"/>
    <w:rsid w:val="00C51B41"/>
    <w:rsid w:val="00C5290E"/>
    <w:rsid w:val="00C535F2"/>
    <w:rsid w:val="00C54548"/>
    <w:rsid w:val="00C54995"/>
    <w:rsid w:val="00C54D41"/>
    <w:rsid w:val="00C550A2"/>
    <w:rsid w:val="00C55BA9"/>
    <w:rsid w:val="00C55BE5"/>
    <w:rsid w:val="00C56740"/>
    <w:rsid w:val="00C57D01"/>
    <w:rsid w:val="00C60783"/>
    <w:rsid w:val="00C60D0B"/>
    <w:rsid w:val="00C626B4"/>
    <w:rsid w:val="00C62A41"/>
    <w:rsid w:val="00C62A85"/>
    <w:rsid w:val="00C631E7"/>
    <w:rsid w:val="00C64672"/>
    <w:rsid w:val="00C64790"/>
    <w:rsid w:val="00C64C5D"/>
    <w:rsid w:val="00C65913"/>
    <w:rsid w:val="00C66489"/>
    <w:rsid w:val="00C70697"/>
    <w:rsid w:val="00C706F8"/>
    <w:rsid w:val="00C707B1"/>
    <w:rsid w:val="00C71A67"/>
    <w:rsid w:val="00C72C5B"/>
    <w:rsid w:val="00C72EF4"/>
    <w:rsid w:val="00C732D1"/>
    <w:rsid w:val="00C73717"/>
    <w:rsid w:val="00C7412B"/>
    <w:rsid w:val="00C7454A"/>
    <w:rsid w:val="00C746A8"/>
    <w:rsid w:val="00C7556D"/>
    <w:rsid w:val="00C75D2F"/>
    <w:rsid w:val="00C767BE"/>
    <w:rsid w:val="00C76A22"/>
    <w:rsid w:val="00C76E3C"/>
    <w:rsid w:val="00C7796C"/>
    <w:rsid w:val="00C80511"/>
    <w:rsid w:val="00C810A3"/>
    <w:rsid w:val="00C81568"/>
    <w:rsid w:val="00C81F93"/>
    <w:rsid w:val="00C83AC7"/>
    <w:rsid w:val="00C843B7"/>
    <w:rsid w:val="00C85526"/>
    <w:rsid w:val="00C87966"/>
    <w:rsid w:val="00C87E83"/>
    <w:rsid w:val="00C9027A"/>
    <w:rsid w:val="00C9068E"/>
    <w:rsid w:val="00C90779"/>
    <w:rsid w:val="00C91844"/>
    <w:rsid w:val="00C925EC"/>
    <w:rsid w:val="00C93C4B"/>
    <w:rsid w:val="00C944AB"/>
    <w:rsid w:val="00C95686"/>
    <w:rsid w:val="00C95B40"/>
    <w:rsid w:val="00C96E9D"/>
    <w:rsid w:val="00C97123"/>
    <w:rsid w:val="00C97355"/>
    <w:rsid w:val="00C97EEE"/>
    <w:rsid w:val="00CA0071"/>
    <w:rsid w:val="00CA078D"/>
    <w:rsid w:val="00CA1ED8"/>
    <w:rsid w:val="00CA2985"/>
    <w:rsid w:val="00CA2F88"/>
    <w:rsid w:val="00CA3BD6"/>
    <w:rsid w:val="00CA6A64"/>
    <w:rsid w:val="00CA7123"/>
    <w:rsid w:val="00CA775F"/>
    <w:rsid w:val="00CB0A26"/>
    <w:rsid w:val="00CB14C6"/>
    <w:rsid w:val="00CB16A6"/>
    <w:rsid w:val="00CB1F63"/>
    <w:rsid w:val="00CB20F3"/>
    <w:rsid w:val="00CB21A4"/>
    <w:rsid w:val="00CB2F22"/>
    <w:rsid w:val="00CB3BD4"/>
    <w:rsid w:val="00CB5574"/>
    <w:rsid w:val="00CB58FF"/>
    <w:rsid w:val="00CB5F79"/>
    <w:rsid w:val="00CB698B"/>
    <w:rsid w:val="00CB6F2F"/>
    <w:rsid w:val="00CB7170"/>
    <w:rsid w:val="00CB73C1"/>
    <w:rsid w:val="00CB796B"/>
    <w:rsid w:val="00CC040E"/>
    <w:rsid w:val="00CC10E3"/>
    <w:rsid w:val="00CC111F"/>
    <w:rsid w:val="00CC1297"/>
    <w:rsid w:val="00CC2011"/>
    <w:rsid w:val="00CC2D2E"/>
    <w:rsid w:val="00CC2E3B"/>
    <w:rsid w:val="00CC2F05"/>
    <w:rsid w:val="00CC3A03"/>
    <w:rsid w:val="00CC3EA0"/>
    <w:rsid w:val="00CC4B03"/>
    <w:rsid w:val="00CC4C24"/>
    <w:rsid w:val="00CC5DFD"/>
    <w:rsid w:val="00CC6C32"/>
    <w:rsid w:val="00CC7AFA"/>
    <w:rsid w:val="00CC7B45"/>
    <w:rsid w:val="00CD089E"/>
    <w:rsid w:val="00CD1188"/>
    <w:rsid w:val="00CD1349"/>
    <w:rsid w:val="00CD1AC6"/>
    <w:rsid w:val="00CD2184"/>
    <w:rsid w:val="00CD2ED1"/>
    <w:rsid w:val="00CD337B"/>
    <w:rsid w:val="00CD40F0"/>
    <w:rsid w:val="00CD4948"/>
    <w:rsid w:val="00CD57F0"/>
    <w:rsid w:val="00CD6F7C"/>
    <w:rsid w:val="00CD7B41"/>
    <w:rsid w:val="00CE0424"/>
    <w:rsid w:val="00CE1A5C"/>
    <w:rsid w:val="00CE1ADD"/>
    <w:rsid w:val="00CE217D"/>
    <w:rsid w:val="00CE2193"/>
    <w:rsid w:val="00CE2ACC"/>
    <w:rsid w:val="00CE2C0A"/>
    <w:rsid w:val="00CE2EF2"/>
    <w:rsid w:val="00CE36C1"/>
    <w:rsid w:val="00CE418D"/>
    <w:rsid w:val="00CE468E"/>
    <w:rsid w:val="00CE5294"/>
    <w:rsid w:val="00CE589A"/>
    <w:rsid w:val="00CE5BDC"/>
    <w:rsid w:val="00CE695F"/>
    <w:rsid w:val="00CE69B9"/>
    <w:rsid w:val="00CE6E5D"/>
    <w:rsid w:val="00CE7561"/>
    <w:rsid w:val="00CF009F"/>
    <w:rsid w:val="00CF08D9"/>
    <w:rsid w:val="00CF1354"/>
    <w:rsid w:val="00CF2C08"/>
    <w:rsid w:val="00CF3A40"/>
    <w:rsid w:val="00CF3B1F"/>
    <w:rsid w:val="00CF3BF6"/>
    <w:rsid w:val="00CF5ABE"/>
    <w:rsid w:val="00CF625B"/>
    <w:rsid w:val="00CF687E"/>
    <w:rsid w:val="00CF6FC5"/>
    <w:rsid w:val="00D0057F"/>
    <w:rsid w:val="00D019FD"/>
    <w:rsid w:val="00D0250A"/>
    <w:rsid w:val="00D02E85"/>
    <w:rsid w:val="00D0349B"/>
    <w:rsid w:val="00D04B2E"/>
    <w:rsid w:val="00D04E79"/>
    <w:rsid w:val="00D10249"/>
    <w:rsid w:val="00D10DB5"/>
    <w:rsid w:val="00D113DC"/>
    <w:rsid w:val="00D115C3"/>
    <w:rsid w:val="00D11897"/>
    <w:rsid w:val="00D11CF3"/>
    <w:rsid w:val="00D12E78"/>
    <w:rsid w:val="00D13135"/>
    <w:rsid w:val="00D13210"/>
    <w:rsid w:val="00D1330B"/>
    <w:rsid w:val="00D13E4E"/>
    <w:rsid w:val="00D15616"/>
    <w:rsid w:val="00D15BD7"/>
    <w:rsid w:val="00D179BA"/>
    <w:rsid w:val="00D17AC8"/>
    <w:rsid w:val="00D17EA1"/>
    <w:rsid w:val="00D212D4"/>
    <w:rsid w:val="00D21622"/>
    <w:rsid w:val="00D219D4"/>
    <w:rsid w:val="00D21CC3"/>
    <w:rsid w:val="00D232F7"/>
    <w:rsid w:val="00D239A7"/>
    <w:rsid w:val="00D23F47"/>
    <w:rsid w:val="00D2476E"/>
    <w:rsid w:val="00D2685C"/>
    <w:rsid w:val="00D268FE"/>
    <w:rsid w:val="00D26EC8"/>
    <w:rsid w:val="00D27759"/>
    <w:rsid w:val="00D3107E"/>
    <w:rsid w:val="00D31201"/>
    <w:rsid w:val="00D314B7"/>
    <w:rsid w:val="00D31705"/>
    <w:rsid w:val="00D31AF9"/>
    <w:rsid w:val="00D34A5D"/>
    <w:rsid w:val="00D34F5E"/>
    <w:rsid w:val="00D35767"/>
    <w:rsid w:val="00D35A82"/>
    <w:rsid w:val="00D35CD7"/>
    <w:rsid w:val="00D35EE7"/>
    <w:rsid w:val="00D36BD7"/>
    <w:rsid w:val="00D36E71"/>
    <w:rsid w:val="00D37D87"/>
    <w:rsid w:val="00D402E7"/>
    <w:rsid w:val="00D40535"/>
    <w:rsid w:val="00D40579"/>
    <w:rsid w:val="00D40B33"/>
    <w:rsid w:val="00D40DD8"/>
    <w:rsid w:val="00D41172"/>
    <w:rsid w:val="00D41AD5"/>
    <w:rsid w:val="00D41D15"/>
    <w:rsid w:val="00D41EAF"/>
    <w:rsid w:val="00D42423"/>
    <w:rsid w:val="00D42FF1"/>
    <w:rsid w:val="00D4318F"/>
    <w:rsid w:val="00D43697"/>
    <w:rsid w:val="00D4383D"/>
    <w:rsid w:val="00D438BF"/>
    <w:rsid w:val="00D440F8"/>
    <w:rsid w:val="00D452BC"/>
    <w:rsid w:val="00D4609B"/>
    <w:rsid w:val="00D46193"/>
    <w:rsid w:val="00D4689D"/>
    <w:rsid w:val="00D50160"/>
    <w:rsid w:val="00D50F97"/>
    <w:rsid w:val="00D52604"/>
    <w:rsid w:val="00D52D2A"/>
    <w:rsid w:val="00D5381B"/>
    <w:rsid w:val="00D53CD3"/>
    <w:rsid w:val="00D54229"/>
    <w:rsid w:val="00D546FF"/>
    <w:rsid w:val="00D54E2B"/>
    <w:rsid w:val="00D5515A"/>
    <w:rsid w:val="00D5532B"/>
    <w:rsid w:val="00D55AD5"/>
    <w:rsid w:val="00D564A4"/>
    <w:rsid w:val="00D57473"/>
    <w:rsid w:val="00D576CA"/>
    <w:rsid w:val="00D57A01"/>
    <w:rsid w:val="00D60719"/>
    <w:rsid w:val="00D61010"/>
    <w:rsid w:val="00D61AF5"/>
    <w:rsid w:val="00D61C12"/>
    <w:rsid w:val="00D633BC"/>
    <w:rsid w:val="00D6345B"/>
    <w:rsid w:val="00D6386F"/>
    <w:rsid w:val="00D644A2"/>
    <w:rsid w:val="00D652B5"/>
    <w:rsid w:val="00D659BB"/>
    <w:rsid w:val="00D66106"/>
    <w:rsid w:val="00D66155"/>
    <w:rsid w:val="00D674FE"/>
    <w:rsid w:val="00D708B0"/>
    <w:rsid w:val="00D70941"/>
    <w:rsid w:val="00D71F67"/>
    <w:rsid w:val="00D73CCC"/>
    <w:rsid w:val="00D745EE"/>
    <w:rsid w:val="00D75516"/>
    <w:rsid w:val="00D77AD4"/>
    <w:rsid w:val="00D77B1D"/>
    <w:rsid w:val="00D8021F"/>
    <w:rsid w:val="00D80383"/>
    <w:rsid w:val="00D814D2"/>
    <w:rsid w:val="00D8160C"/>
    <w:rsid w:val="00D820DF"/>
    <w:rsid w:val="00D823C6"/>
    <w:rsid w:val="00D8250D"/>
    <w:rsid w:val="00D826A5"/>
    <w:rsid w:val="00D842E7"/>
    <w:rsid w:val="00D8437D"/>
    <w:rsid w:val="00D84415"/>
    <w:rsid w:val="00D845E6"/>
    <w:rsid w:val="00D8594E"/>
    <w:rsid w:val="00D85D95"/>
    <w:rsid w:val="00D86CA3"/>
    <w:rsid w:val="00D871CE"/>
    <w:rsid w:val="00D87349"/>
    <w:rsid w:val="00D915D1"/>
    <w:rsid w:val="00D917FE"/>
    <w:rsid w:val="00D9196D"/>
    <w:rsid w:val="00D91C82"/>
    <w:rsid w:val="00D92982"/>
    <w:rsid w:val="00D92BF0"/>
    <w:rsid w:val="00D92DE4"/>
    <w:rsid w:val="00D9344F"/>
    <w:rsid w:val="00D94B4D"/>
    <w:rsid w:val="00D9542D"/>
    <w:rsid w:val="00D96F81"/>
    <w:rsid w:val="00D97E56"/>
    <w:rsid w:val="00D97E68"/>
    <w:rsid w:val="00DA01C4"/>
    <w:rsid w:val="00DA0850"/>
    <w:rsid w:val="00DA15A4"/>
    <w:rsid w:val="00DA26C2"/>
    <w:rsid w:val="00DA305E"/>
    <w:rsid w:val="00DA4E32"/>
    <w:rsid w:val="00DA4F1C"/>
    <w:rsid w:val="00DA5417"/>
    <w:rsid w:val="00DA56E8"/>
    <w:rsid w:val="00DA6518"/>
    <w:rsid w:val="00DB043A"/>
    <w:rsid w:val="00DB0A9F"/>
    <w:rsid w:val="00DB377D"/>
    <w:rsid w:val="00DB4235"/>
    <w:rsid w:val="00DB461A"/>
    <w:rsid w:val="00DB4CDF"/>
    <w:rsid w:val="00DB4D8A"/>
    <w:rsid w:val="00DB514E"/>
    <w:rsid w:val="00DB5922"/>
    <w:rsid w:val="00DB5938"/>
    <w:rsid w:val="00DB6712"/>
    <w:rsid w:val="00DB7C1E"/>
    <w:rsid w:val="00DC13F4"/>
    <w:rsid w:val="00DC14D7"/>
    <w:rsid w:val="00DC1535"/>
    <w:rsid w:val="00DC1CEF"/>
    <w:rsid w:val="00DC227B"/>
    <w:rsid w:val="00DC2D36"/>
    <w:rsid w:val="00DC2DA0"/>
    <w:rsid w:val="00DC3287"/>
    <w:rsid w:val="00DC3F0B"/>
    <w:rsid w:val="00DC530B"/>
    <w:rsid w:val="00DC53EF"/>
    <w:rsid w:val="00DC6639"/>
    <w:rsid w:val="00DC6BA9"/>
    <w:rsid w:val="00DC74D9"/>
    <w:rsid w:val="00DC7B5D"/>
    <w:rsid w:val="00DD0026"/>
    <w:rsid w:val="00DD0263"/>
    <w:rsid w:val="00DD0DA6"/>
    <w:rsid w:val="00DD0EC1"/>
    <w:rsid w:val="00DD1825"/>
    <w:rsid w:val="00DD1880"/>
    <w:rsid w:val="00DD20A0"/>
    <w:rsid w:val="00DD2571"/>
    <w:rsid w:val="00DD29B5"/>
    <w:rsid w:val="00DD396C"/>
    <w:rsid w:val="00DD3B64"/>
    <w:rsid w:val="00DD53FD"/>
    <w:rsid w:val="00DD5D69"/>
    <w:rsid w:val="00DD60E6"/>
    <w:rsid w:val="00DD6F36"/>
    <w:rsid w:val="00DE1645"/>
    <w:rsid w:val="00DE1944"/>
    <w:rsid w:val="00DE1E88"/>
    <w:rsid w:val="00DE23ED"/>
    <w:rsid w:val="00DE38B4"/>
    <w:rsid w:val="00DE55E9"/>
    <w:rsid w:val="00DE5608"/>
    <w:rsid w:val="00DE58D0"/>
    <w:rsid w:val="00DE654F"/>
    <w:rsid w:val="00DE6A68"/>
    <w:rsid w:val="00DE73A4"/>
    <w:rsid w:val="00DF0B0C"/>
    <w:rsid w:val="00DF0B6E"/>
    <w:rsid w:val="00DF15E0"/>
    <w:rsid w:val="00DF1927"/>
    <w:rsid w:val="00DF1A7F"/>
    <w:rsid w:val="00DF37A0"/>
    <w:rsid w:val="00DF3868"/>
    <w:rsid w:val="00DF3908"/>
    <w:rsid w:val="00DF475D"/>
    <w:rsid w:val="00DF4818"/>
    <w:rsid w:val="00DF4A78"/>
    <w:rsid w:val="00DF4BDF"/>
    <w:rsid w:val="00DF545F"/>
    <w:rsid w:val="00DF5BFE"/>
    <w:rsid w:val="00DF67BB"/>
    <w:rsid w:val="00DF6E60"/>
    <w:rsid w:val="00DF716B"/>
    <w:rsid w:val="00DF71A0"/>
    <w:rsid w:val="00E00516"/>
    <w:rsid w:val="00E01091"/>
    <w:rsid w:val="00E01AD8"/>
    <w:rsid w:val="00E03350"/>
    <w:rsid w:val="00E034A7"/>
    <w:rsid w:val="00E0644D"/>
    <w:rsid w:val="00E069AD"/>
    <w:rsid w:val="00E06E86"/>
    <w:rsid w:val="00E110E7"/>
    <w:rsid w:val="00E11609"/>
    <w:rsid w:val="00E11B20"/>
    <w:rsid w:val="00E1244C"/>
    <w:rsid w:val="00E1249E"/>
    <w:rsid w:val="00E12604"/>
    <w:rsid w:val="00E12738"/>
    <w:rsid w:val="00E1291B"/>
    <w:rsid w:val="00E14296"/>
    <w:rsid w:val="00E14CAC"/>
    <w:rsid w:val="00E14D9A"/>
    <w:rsid w:val="00E14F40"/>
    <w:rsid w:val="00E15F7E"/>
    <w:rsid w:val="00E16DB2"/>
    <w:rsid w:val="00E1748C"/>
    <w:rsid w:val="00E17601"/>
    <w:rsid w:val="00E17FA2"/>
    <w:rsid w:val="00E202F6"/>
    <w:rsid w:val="00E206B2"/>
    <w:rsid w:val="00E20FFC"/>
    <w:rsid w:val="00E2189E"/>
    <w:rsid w:val="00E21B05"/>
    <w:rsid w:val="00E22330"/>
    <w:rsid w:val="00E237FB"/>
    <w:rsid w:val="00E23B4B"/>
    <w:rsid w:val="00E23BBE"/>
    <w:rsid w:val="00E24C9A"/>
    <w:rsid w:val="00E256B9"/>
    <w:rsid w:val="00E27B45"/>
    <w:rsid w:val="00E27BFC"/>
    <w:rsid w:val="00E30805"/>
    <w:rsid w:val="00E30B5A"/>
    <w:rsid w:val="00E30DAD"/>
    <w:rsid w:val="00E30E8C"/>
    <w:rsid w:val="00E3123D"/>
    <w:rsid w:val="00E31461"/>
    <w:rsid w:val="00E31D43"/>
    <w:rsid w:val="00E32608"/>
    <w:rsid w:val="00E34188"/>
    <w:rsid w:val="00E34945"/>
    <w:rsid w:val="00E34B6E"/>
    <w:rsid w:val="00E35559"/>
    <w:rsid w:val="00E35D9B"/>
    <w:rsid w:val="00E368A5"/>
    <w:rsid w:val="00E3723A"/>
    <w:rsid w:val="00E37860"/>
    <w:rsid w:val="00E37A27"/>
    <w:rsid w:val="00E401B5"/>
    <w:rsid w:val="00E40F3C"/>
    <w:rsid w:val="00E413D9"/>
    <w:rsid w:val="00E43FE2"/>
    <w:rsid w:val="00E446F1"/>
    <w:rsid w:val="00E44A90"/>
    <w:rsid w:val="00E44E2C"/>
    <w:rsid w:val="00E45807"/>
    <w:rsid w:val="00E46886"/>
    <w:rsid w:val="00E46975"/>
    <w:rsid w:val="00E472FC"/>
    <w:rsid w:val="00E47AEF"/>
    <w:rsid w:val="00E51151"/>
    <w:rsid w:val="00E52131"/>
    <w:rsid w:val="00E527B9"/>
    <w:rsid w:val="00E53B75"/>
    <w:rsid w:val="00E54B96"/>
    <w:rsid w:val="00E54E3B"/>
    <w:rsid w:val="00E55A4E"/>
    <w:rsid w:val="00E55D1A"/>
    <w:rsid w:val="00E571D6"/>
    <w:rsid w:val="00E57565"/>
    <w:rsid w:val="00E606C9"/>
    <w:rsid w:val="00E60CC2"/>
    <w:rsid w:val="00E61AC6"/>
    <w:rsid w:val="00E61B2A"/>
    <w:rsid w:val="00E6287A"/>
    <w:rsid w:val="00E62EA9"/>
    <w:rsid w:val="00E632D0"/>
    <w:rsid w:val="00E636B3"/>
    <w:rsid w:val="00E6379F"/>
    <w:rsid w:val="00E63838"/>
    <w:rsid w:val="00E64434"/>
    <w:rsid w:val="00E6456F"/>
    <w:rsid w:val="00E6476C"/>
    <w:rsid w:val="00E65DBE"/>
    <w:rsid w:val="00E65F62"/>
    <w:rsid w:val="00E660D3"/>
    <w:rsid w:val="00E6752E"/>
    <w:rsid w:val="00E67801"/>
    <w:rsid w:val="00E67C51"/>
    <w:rsid w:val="00E712F1"/>
    <w:rsid w:val="00E721A7"/>
    <w:rsid w:val="00E722A0"/>
    <w:rsid w:val="00E72EFC"/>
    <w:rsid w:val="00E73759"/>
    <w:rsid w:val="00E73BD8"/>
    <w:rsid w:val="00E743B9"/>
    <w:rsid w:val="00E749DB"/>
    <w:rsid w:val="00E758EC"/>
    <w:rsid w:val="00E75D8C"/>
    <w:rsid w:val="00E75F89"/>
    <w:rsid w:val="00E76B18"/>
    <w:rsid w:val="00E811FC"/>
    <w:rsid w:val="00E81CCA"/>
    <w:rsid w:val="00E8234C"/>
    <w:rsid w:val="00E82DBD"/>
    <w:rsid w:val="00E83815"/>
    <w:rsid w:val="00E83AA9"/>
    <w:rsid w:val="00E84032"/>
    <w:rsid w:val="00E85928"/>
    <w:rsid w:val="00E85CF8"/>
    <w:rsid w:val="00E85DA6"/>
    <w:rsid w:val="00E87822"/>
    <w:rsid w:val="00E90395"/>
    <w:rsid w:val="00E9098B"/>
    <w:rsid w:val="00E90E49"/>
    <w:rsid w:val="00E917F9"/>
    <w:rsid w:val="00E91A41"/>
    <w:rsid w:val="00E9291C"/>
    <w:rsid w:val="00E92972"/>
    <w:rsid w:val="00E939A4"/>
    <w:rsid w:val="00E93DB2"/>
    <w:rsid w:val="00E93FFE"/>
    <w:rsid w:val="00E94F8A"/>
    <w:rsid w:val="00E9597C"/>
    <w:rsid w:val="00E9608A"/>
    <w:rsid w:val="00E96094"/>
    <w:rsid w:val="00E96347"/>
    <w:rsid w:val="00E96A15"/>
    <w:rsid w:val="00E974B6"/>
    <w:rsid w:val="00E97D31"/>
    <w:rsid w:val="00EA03A3"/>
    <w:rsid w:val="00EA192B"/>
    <w:rsid w:val="00EA3567"/>
    <w:rsid w:val="00EA3C86"/>
    <w:rsid w:val="00EA4DBD"/>
    <w:rsid w:val="00EA5123"/>
    <w:rsid w:val="00EA667E"/>
    <w:rsid w:val="00EA6D24"/>
    <w:rsid w:val="00EA7A41"/>
    <w:rsid w:val="00EA7AAE"/>
    <w:rsid w:val="00EB0038"/>
    <w:rsid w:val="00EB077B"/>
    <w:rsid w:val="00EB0E04"/>
    <w:rsid w:val="00EB2BC0"/>
    <w:rsid w:val="00EB456F"/>
    <w:rsid w:val="00EB4EA2"/>
    <w:rsid w:val="00EB51CF"/>
    <w:rsid w:val="00EB56B3"/>
    <w:rsid w:val="00EB7C2E"/>
    <w:rsid w:val="00EC0207"/>
    <w:rsid w:val="00EC0283"/>
    <w:rsid w:val="00EC0685"/>
    <w:rsid w:val="00EC1126"/>
    <w:rsid w:val="00EC1A51"/>
    <w:rsid w:val="00EC2610"/>
    <w:rsid w:val="00EC27C6"/>
    <w:rsid w:val="00EC2819"/>
    <w:rsid w:val="00EC2B97"/>
    <w:rsid w:val="00EC37E1"/>
    <w:rsid w:val="00EC4207"/>
    <w:rsid w:val="00EC4955"/>
    <w:rsid w:val="00EC50E2"/>
    <w:rsid w:val="00EC5653"/>
    <w:rsid w:val="00EC5D84"/>
    <w:rsid w:val="00EC5EA9"/>
    <w:rsid w:val="00EC6092"/>
    <w:rsid w:val="00EC60F1"/>
    <w:rsid w:val="00EC617F"/>
    <w:rsid w:val="00EC67B6"/>
    <w:rsid w:val="00EC70EF"/>
    <w:rsid w:val="00EC71CE"/>
    <w:rsid w:val="00EC74E0"/>
    <w:rsid w:val="00EC7D0D"/>
    <w:rsid w:val="00ED1006"/>
    <w:rsid w:val="00ED15C4"/>
    <w:rsid w:val="00ED20E8"/>
    <w:rsid w:val="00ED2617"/>
    <w:rsid w:val="00ED2E4E"/>
    <w:rsid w:val="00ED3644"/>
    <w:rsid w:val="00ED39FA"/>
    <w:rsid w:val="00ED3A4E"/>
    <w:rsid w:val="00ED5378"/>
    <w:rsid w:val="00ED5BB5"/>
    <w:rsid w:val="00ED5CCA"/>
    <w:rsid w:val="00ED732C"/>
    <w:rsid w:val="00ED7C35"/>
    <w:rsid w:val="00ED7CBF"/>
    <w:rsid w:val="00EE09F8"/>
    <w:rsid w:val="00EE1C64"/>
    <w:rsid w:val="00EE1CB4"/>
    <w:rsid w:val="00EE2241"/>
    <w:rsid w:val="00EE3617"/>
    <w:rsid w:val="00EE3BFB"/>
    <w:rsid w:val="00EE42E5"/>
    <w:rsid w:val="00EE445F"/>
    <w:rsid w:val="00EE5B5B"/>
    <w:rsid w:val="00EE6800"/>
    <w:rsid w:val="00EE75AF"/>
    <w:rsid w:val="00EE79C7"/>
    <w:rsid w:val="00EF052A"/>
    <w:rsid w:val="00EF18FE"/>
    <w:rsid w:val="00EF1D57"/>
    <w:rsid w:val="00EF2074"/>
    <w:rsid w:val="00EF2807"/>
    <w:rsid w:val="00EF3303"/>
    <w:rsid w:val="00EF3B61"/>
    <w:rsid w:val="00EF50E6"/>
    <w:rsid w:val="00EF5429"/>
    <w:rsid w:val="00EF5787"/>
    <w:rsid w:val="00EF57E5"/>
    <w:rsid w:val="00EF60D0"/>
    <w:rsid w:val="00EF6AE2"/>
    <w:rsid w:val="00EF7199"/>
    <w:rsid w:val="00EF7872"/>
    <w:rsid w:val="00EF7B53"/>
    <w:rsid w:val="00F00E1A"/>
    <w:rsid w:val="00F0175C"/>
    <w:rsid w:val="00F019C0"/>
    <w:rsid w:val="00F01E1B"/>
    <w:rsid w:val="00F04697"/>
    <w:rsid w:val="00F04798"/>
    <w:rsid w:val="00F04F5C"/>
    <w:rsid w:val="00F0528D"/>
    <w:rsid w:val="00F05568"/>
    <w:rsid w:val="00F05753"/>
    <w:rsid w:val="00F05E6F"/>
    <w:rsid w:val="00F06497"/>
    <w:rsid w:val="00F06C67"/>
    <w:rsid w:val="00F06DFD"/>
    <w:rsid w:val="00F071D1"/>
    <w:rsid w:val="00F07533"/>
    <w:rsid w:val="00F0764C"/>
    <w:rsid w:val="00F10629"/>
    <w:rsid w:val="00F119AE"/>
    <w:rsid w:val="00F147E3"/>
    <w:rsid w:val="00F14F32"/>
    <w:rsid w:val="00F153CB"/>
    <w:rsid w:val="00F154BD"/>
    <w:rsid w:val="00F15849"/>
    <w:rsid w:val="00F15FA5"/>
    <w:rsid w:val="00F165A3"/>
    <w:rsid w:val="00F16982"/>
    <w:rsid w:val="00F16DA7"/>
    <w:rsid w:val="00F1783D"/>
    <w:rsid w:val="00F20227"/>
    <w:rsid w:val="00F209B7"/>
    <w:rsid w:val="00F218FE"/>
    <w:rsid w:val="00F23094"/>
    <w:rsid w:val="00F2376F"/>
    <w:rsid w:val="00F23F73"/>
    <w:rsid w:val="00F243D8"/>
    <w:rsid w:val="00F2518D"/>
    <w:rsid w:val="00F267F6"/>
    <w:rsid w:val="00F27D31"/>
    <w:rsid w:val="00F30578"/>
    <w:rsid w:val="00F306AB"/>
    <w:rsid w:val="00F30828"/>
    <w:rsid w:val="00F313D6"/>
    <w:rsid w:val="00F31C8A"/>
    <w:rsid w:val="00F324B0"/>
    <w:rsid w:val="00F331CA"/>
    <w:rsid w:val="00F34C0F"/>
    <w:rsid w:val="00F352D0"/>
    <w:rsid w:val="00F3613A"/>
    <w:rsid w:val="00F37EC0"/>
    <w:rsid w:val="00F40014"/>
    <w:rsid w:val="00F409A8"/>
    <w:rsid w:val="00F40F0C"/>
    <w:rsid w:val="00F40FB0"/>
    <w:rsid w:val="00F417CC"/>
    <w:rsid w:val="00F417DC"/>
    <w:rsid w:val="00F42B5A"/>
    <w:rsid w:val="00F43D88"/>
    <w:rsid w:val="00F44BB3"/>
    <w:rsid w:val="00F44DD8"/>
    <w:rsid w:val="00F44EBD"/>
    <w:rsid w:val="00F4524C"/>
    <w:rsid w:val="00F45406"/>
    <w:rsid w:val="00F456C6"/>
    <w:rsid w:val="00F45B1E"/>
    <w:rsid w:val="00F46C25"/>
    <w:rsid w:val="00F46C7E"/>
    <w:rsid w:val="00F46C92"/>
    <w:rsid w:val="00F46CE6"/>
    <w:rsid w:val="00F4766C"/>
    <w:rsid w:val="00F47881"/>
    <w:rsid w:val="00F503E5"/>
    <w:rsid w:val="00F50417"/>
    <w:rsid w:val="00F507D1"/>
    <w:rsid w:val="00F519CE"/>
    <w:rsid w:val="00F51ADA"/>
    <w:rsid w:val="00F52361"/>
    <w:rsid w:val="00F523FB"/>
    <w:rsid w:val="00F53110"/>
    <w:rsid w:val="00F54103"/>
    <w:rsid w:val="00F54340"/>
    <w:rsid w:val="00F54515"/>
    <w:rsid w:val="00F549A2"/>
    <w:rsid w:val="00F55731"/>
    <w:rsid w:val="00F56404"/>
    <w:rsid w:val="00F56A31"/>
    <w:rsid w:val="00F5728F"/>
    <w:rsid w:val="00F57749"/>
    <w:rsid w:val="00F607C5"/>
    <w:rsid w:val="00F60A59"/>
    <w:rsid w:val="00F60CEA"/>
    <w:rsid w:val="00F60D1C"/>
    <w:rsid w:val="00F60DEA"/>
    <w:rsid w:val="00F612AD"/>
    <w:rsid w:val="00F61A7A"/>
    <w:rsid w:val="00F61E0D"/>
    <w:rsid w:val="00F6226C"/>
    <w:rsid w:val="00F6302A"/>
    <w:rsid w:val="00F63D97"/>
    <w:rsid w:val="00F64C2B"/>
    <w:rsid w:val="00F651BE"/>
    <w:rsid w:val="00F653F9"/>
    <w:rsid w:val="00F654CB"/>
    <w:rsid w:val="00F65788"/>
    <w:rsid w:val="00F65F34"/>
    <w:rsid w:val="00F65FDF"/>
    <w:rsid w:val="00F67C42"/>
    <w:rsid w:val="00F67F53"/>
    <w:rsid w:val="00F703BE"/>
    <w:rsid w:val="00F708EC"/>
    <w:rsid w:val="00F71F69"/>
    <w:rsid w:val="00F71FED"/>
    <w:rsid w:val="00F7216C"/>
    <w:rsid w:val="00F72602"/>
    <w:rsid w:val="00F72798"/>
    <w:rsid w:val="00F72B72"/>
    <w:rsid w:val="00F72DE4"/>
    <w:rsid w:val="00F73E82"/>
    <w:rsid w:val="00F73F54"/>
    <w:rsid w:val="00F74B09"/>
    <w:rsid w:val="00F74BB9"/>
    <w:rsid w:val="00F75582"/>
    <w:rsid w:val="00F76EFA"/>
    <w:rsid w:val="00F77075"/>
    <w:rsid w:val="00F804BE"/>
    <w:rsid w:val="00F80FEA"/>
    <w:rsid w:val="00F817CE"/>
    <w:rsid w:val="00F82550"/>
    <w:rsid w:val="00F82CF4"/>
    <w:rsid w:val="00F83189"/>
    <w:rsid w:val="00F83993"/>
    <w:rsid w:val="00F8456C"/>
    <w:rsid w:val="00F858C5"/>
    <w:rsid w:val="00F859D8"/>
    <w:rsid w:val="00F8642C"/>
    <w:rsid w:val="00F868F5"/>
    <w:rsid w:val="00F90248"/>
    <w:rsid w:val="00F9056A"/>
    <w:rsid w:val="00F90BEC"/>
    <w:rsid w:val="00F90F8D"/>
    <w:rsid w:val="00F91917"/>
    <w:rsid w:val="00F91A81"/>
    <w:rsid w:val="00F9247D"/>
    <w:rsid w:val="00F92768"/>
    <w:rsid w:val="00F92782"/>
    <w:rsid w:val="00F92ACD"/>
    <w:rsid w:val="00F92D3B"/>
    <w:rsid w:val="00F93AA9"/>
    <w:rsid w:val="00F94E81"/>
    <w:rsid w:val="00F952A8"/>
    <w:rsid w:val="00F9591A"/>
    <w:rsid w:val="00F960A0"/>
    <w:rsid w:val="00F96985"/>
    <w:rsid w:val="00F96B98"/>
    <w:rsid w:val="00F96CB0"/>
    <w:rsid w:val="00F974E0"/>
    <w:rsid w:val="00F97506"/>
    <w:rsid w:val="00F97838"/>
    <w:rsid w:val="00F97ED5"/>
    <w:rsid w:val="00FA136A"/>
    <w:rsid w:val="00FA1B6E"/>
    <w:rsid w:val="00FA2285"/>
    <w:rsid w:val="00FA2BB3"/>
    <w:rsid w:val="00FA4460"/>
    <w:rsid w:val="00FA6F5A"/>
    <w:rsid w:val="00FA6F78"/>
    <w:rsid w:val="00FB1B5C"/>
    <w:rsid w:val="00FB4C80"/>
    <w:rsid w:val="00FB5C18"/>
    <w:rsid w:val="00FB5F16"/>
    <w:rsid w:val="00FB6A41"/>
    <w:rsid w:val="00FB6A6A"/>
    <w:rsid w:val="00FB7588"/>
    <w:rsid w:val="00FC10C1"/>
    <w:rsid w:val="00FC12B9"/>
    <w:rsid w:val="00FC12C7"/>
    <w:rsid w:val="00FC1AEE"/>
    <w:rsid w:val="00FC29BE"/>
    <w:rsid w:val="00FC2B7C"/>
    <w:rsid w:val="00FC2EA8"/>
    <w:rsid w:val="00FC2F70"/>
    <w:rsid w:val="00FC3A07"/>
    <w:rsid w:val="00FC5BA1"/>
    <w:rsid w:val="00FC7429"/>
    <w:rsid w:val="00FC7595"/>
    <w:rsid w:val="00FC77F3"/>
    <w:rsid w:val="00FC78C0"/>
    <w:rsid w:val="00FC7DD7"/>
    <w:rsid w:val="00FD07F6"/>
    <w:rsid w:val="00FD0CAE"/>
    <w:rsid w:val="00FD1407"/>
    <w:rsid w:val="00FD1EC8"/>
    <w:rsid w:val="00FD1FFC"/>
    <w:rsid w:val="00FD2024"/>
    <w:rsid w:val="00FD3488"/>
    <w:rsid w:val="00FD3D63"/>
    <w:rsid w:val="00FD47ED"/>
    <w:rsid w:val="00FD6D1E"/>
    <w:rsid w:val="00FD74DB"/>
    <w:rsid w:val="00FD7660"/>
    <w:rsid w:val="00FD788B"/>
    <w:rsid w:val="00FD7DE2"/>
    <w:rsid w:val="00FE057D"/>
    <w:rsid w:val="00FE0655"/>
    <w:rsid w:val="00FE09E0"/>
    <w:rsid w:val="00FE0D6C"/>
    <w:rsid w:val="00FE1163"/>
    <w:rsid w:val="00FE1477"/>
    <w:rsid w:val="00FE1E66"/>
    <w:rsid w:val="00FE2365"/>
    <w:rsid w:val="00FE38DA"/>
    <w:rsid w:val="00FE4C7B"/>
    <w:rsid w:val="00FE4DBA"/>
    <w:rsid w:val="00FE524C"/>
    <w:rsid w:val="00FE5B7B"/>
    <w:rsid w:val="00FE5F79"/>
    <w:rsid w:val="00FE7336"/>
    <w:rsid w:val="00FE749F"/>
    <w:rsid w:val="00FE787C"/>
    <w:rsid w:val="00FF0679"/>
    <w:rsid w:val="00FF08CC"/>
    <w:rsid w:val="00FF0A52"/>
    <w:rsid w:val="00FF3E5D"/>
    <w:rsid w:val="00FF415C"/>
    <w:rsid w:val="00FF417B"/>
    <w:rsid w:val="00FF45A5"/>
    <w:rsid w:val="00FF471D"/>
    <w:rsid w:val="00FF59DD"/>
    <w:rsid w:val="00FF5C91"/>
    <w:rsid w:val="00FF6526"/>
    <w:rsid w:val="00FF78E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4B1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A4B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B1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Theme="minorHAnsi" w:eastAsiaTheme="minorHAnsi" w:hAnsiTheme="minorHAnsi" w:cstheme="minorBidi"/>
      <w:sz w:val="22"/>
      <w:szCs w:val="22"/>
    </w:rPr>
  </w:style>
  <w:style w:type="table" w:styleId="TableGrid">
    <w:name w:val="Table Grid"/>
    <w:basedOn w:val="TableNormal"/>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 w:type="paragraph" w:styleId="ListParagraph">
    <w:name w:val="List Paragraph"/>
    <w:basedOn w:val="Normal"/>
    <w:uiPriority w:val="34"/>
    <w:qFormat/>
    <w:rsid w:val="008275C2"/>
    <w:pPr>
      <w:ind w:left="720"/>
      <w:contextualSpacing/>
    </w:pPr>
  </w:style>
  <w:style w:type="paragraph" w:customStyle="1" w:styleId="TdocHeading1">
    <w:name w:val="Tdoc_Heading_1"/>
    <w:basedOn w:val="Heading1"/>
    <w:next w:val="BodyText"/>
    <w:autoRedefine/>
    <w:rsid w:val="00CB58FF"/>
    <w:pPr>
      <w:keepLines w:val="0"/>
      <w:numPr>
        <w:numId w:val="11"/>
      </w:numPr>
      <w:pBdr>
        <w:top w:val="double" w:sz="4" w:space="1" w:color="auto"/>
        <w:left w:val="double" w:sz="4" w:space="4" w:color="auto"/>
        <w:bottom w:val="double" w:sz="4" w:space="1" w:color="auto"/>
        <w:right w:val="double" w:sz="4" w:space="4" w:color="auto"/>
      </w:pBdr>
      <w:shd w:val="clear" w:color="auto" w:fill="BF8F00" w:themeFill="accent4" w:themeFillShade="BF"/>
      <w:tabs>
        <w:tab w:val="center" w:pos="9000"/>
      </w:tabs>
      <w:overflowPunct/>
      <w:autoSpaceDE/>
      <w:autoSpaceDN/>
      <w:adjustRightInd/>
      <w:spacing w:after="120"/>
      <w:ind w:left="357" w:hanging="357"/>
      <w:textAlignment w:val="auto"/>
    </w:pPr>
    <w:rPr>
      <w:rFonts w:eastAsia="Batang" w:cs="Times New Roman"/>
      <w:noProof/>
      <w:color w:val="FFFFFF" w:themeColor="background1"/>
      <w:kern w:val="28"/>
      <w:sz w:val="24"/>
      <w:szCs w:val="20"/>
      <w:lang w:val="en-US" w:eastAsia="en-US"/>
    </w:rPr>
  </w:style>
  <w:style w:type="character" w:styleId="Strong">
    <w:name w:val="Strong"/>
    <w:basedOn w:val="DefaultParagraphFont"/>
    <w:qFormat/>
    <w:rsid w:val="009B1B39"/>
    <w:rPr>
      <w:b/>
      <w:bCs/>
    </w:rPr>
  </w:style>
  <w:style w:type="paragraph" w:styleId="Revision">
    <w:name w:val="Revision"/>
    <w:hidden/>
    <w:uiPriority w:val="99"/>
    <w:semiHidden/>
    <w:rsid w:val="0076766E"/>
    <w:rPr>
      <w:rFonts w:asciiTheme="minorHAnsi" w:eastAsiaTheme="minorHAnsi" w:hAnsiTheme="minorHAnsi" w:cstheme="minorBidi"/>
      <w:sz w:val="22"/>
      <w:szCs w:val="22"/>
    </w:rPr>
  </w:style>
  <w:style w:type="paragraph" w:customStyle="1" w:styleId="Review">
    <w:name w:val="Review"/>
    <w:basedOn w:val="Normal"/>
    <w:qFormat/>
    <w:rsid w:val="003767D5"/>
    <w:pPr>
      <w:shd w:val="clear" w:color="auto" w:fill="FFFFF0"/>
      <w:spacing w:before="40" w:after="0" w:line="240" w:lineRule="auto"/>
      <w:ind w:left="216" w:hanging="216"/>
    </w:pPr>
    <w:rPr>
      <w:rFonts w:ascii="Times New Roman" w:eastAsia="Batang" w:hAnsi="Times New Roman" w:cs="Times New Roman"/>
      <w:color w:val="5000FF"/>
      <w:sz w:val="20"/>
      <w:szCs w:val="24"/>
      <w:lang w:val="en-GB"/>
    </w:rPr>
  </w:style>
  <w:style w:type="table" w:customStyle="1" w:styleId="TableGrid1">
    <w:name w:val="Table Grid1"/>
    <w:basedOn w:val="TableNormal"/>
    <w:next w:val="TableGrid"/>
    <w:uiPriority w:val="39"/>
    <w:rsid w:val="00041DF6"/>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31367"/>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1593">
      <w:bodyDiv w:val="1"/>
      <w:marLeft w:val="0"/>
      <w:marRight w:val="0"/>
      <w:marTop w:val="0"/>
      <w:marBottom w:val="0"/>
      <w:divBdr>
        <w:top w:val="none" w:sz="0" w:space="0" w:color="auto"/>
        <w:left w:val="none" w:sz="0" w:space="0" w:color="auto"/>
        <w:bottom w:val="none" w:sz="0" w:space="0" w:color="auto"/>
        <w:right w:val="none" w:sz="0" w:space="0" w:color="auto"/>
      </w:divBdr>
    </w:div>
    <w:div w:id="13463259">
      <w:bodyDiv w:val="1"/>
      <w:marLeft w:val="0"/>
      <w:marRight w:val="0"/>
      <w:marTop w:val="0"/>
      <w:marBottom w:val="0"/>
      <w:divBdr>
        <w:top w:val="none" w:sz="0" w:space="0" w:color="auto"/>
        <w:left w:val="none" w:sz="0" w:space="0" w:color="auto"/>
        <w:bottom w:val="none" w:sz="0" w:space="0" w:color="auto"/>
        <w:right w:val="none" w:sz="0" w:space="0" w:color="auto"/>
      </w:divBdr>
    </w:div>
    <w:div w:id="25564342">
      <w:bodyDiv w:val="1"/>
      <w:marLeft w:val="0"/>
      <w:marRight w:val="0"/>
      <w:marTop w:val="0"/>
      <w:marBottom w:val="0"/>
      <w:divBdr>
        <w:top w:val="none" w:sz="0" w:space="0" w:color="auto"/>
        <w:left w:val="none" w:sz="0" w:space="0" w:color="auto"/>
        <w:bottom w:val="none" w:sz="0" w:space="0" w:color="auto"/>
        <w:right w:val="none" w:sz="0" w:space="0" w:color="auto"/>
      </w:divBdr>
    </w:div>
    <w:div w:id="69158409">
      <w:bodyDiv w:val="1"/>
      <w:marLeft w:val="0"/>
      <w:marRight w:val="0"/>
      <w:marTop w:val="0"/>
      <w:marBottom w:val="0"/>
      <w:divBdr>
        <w:top w:val="none" w:sz="0" w:space="0" w:color="auto"/>
        <w:left w:val="none" w:sz="0" w:space="0" w:color="auto"/>
        <w:bottom w:val="none" w:sz="0" w:space="0" w:color="auto"/>
        <w:right w:val="none" w:sz="0" w:space="0" w:color="auto"/>
      </w:divBdr>
    </w:div>
    <w:div w:id="100340323">
      <w:bodyDiv w:val="1"/>
      <w:marLeft w:val="0"/>
      <w:marRight w:val="0"/>
      <w:marTop w:val="0"/>
      <w:marBottom w:val="0"/>
      <w:divBdr>
        <w:top w:val="none" w:sz="0" w:space="0" w:color="auto"/>
        <w:left w:val="none" w:sz="0" w:space="0" w:color="auto"/>
        <w:bottom w:val="none" w:sz="0" w:space="0" w:color="auto"/>
        <w:right w:val="none" w:sz="0" w:space="0" w:color="auto"/>
      </w:divBdr>
    </w:div>
    <w:div w:id="105200220">
      <w:bodyDiv w:val="1"/>
      <w:marLeft w:val="0"/>
      <w:marRight w:val="0"/>
      <w:marTop w:val="0"/>
      <w:marBottom w:val="0"/>
      <w:divBdr>
        <w:top w:val="none" w:sz="0" w:space="0" w:color="auto"/>
        <w:left w:val="none" w:sz="0" w:space="0" w:color="auto"/>
        <w:bottom w:val="none" w:sz="0" w:space="0" w:color="auto"/>
        <w:right w:val="none" w:sz="0" w:space="0" w:color="auto"/>
      </w:divBdr>
    </w:div>
    <w:div w:id="109589498">
      <w:bodyDiv w:val="1"/>
      <w:marLeft w:val="0"/>
      <w:marRight w:val="0"/>
      <w:marTop w:val="0"/>
      <w:marBottom w:val="0"/>
      <w:divBdr>
        <w:top w:val="none" w:sz="0" w:space="0" w:color="auto"/>
        <w:left w:val="none" w:sz="0" w:space="0" w:color="auto"/>
        <w:bottom w:val="none" w:sz="0" w:space="0" w:color="auto"/>
        <w:right w:val="none" w:sz="0" w:space="0" w:color="auto"/>
      </w:divBdr>
    </w:div>
    <w:div w:id="112985582">
      <w:bodyDiv w:val="1"/>
      <w:marLeft w:val="0"/>
      <w:marRight w:val="0"/>
      <w:marTop w:val="0"/>
      <w:marBottom w:val="0"/>
      <w:divBdr>
        <w:top w:val="none" w:sz="0" w:space="0" w:color="auto"/>
        <w:left w:val="none" w:sz="0" w:space="0" w:color="auto"/>
        <w:bottom w:val="none" w:sz="0" w:space="0" w:color="auto"/>
        <w:right w:val="none" w:sz="0" w:space="0" w:color="auto"/>
      </w:divBdr>
    </w:div>
    <w:div w:id="124659178">
      <w:bodyDiv w:val="1"/>
      <w:marLeft w:val="0"/>
      <w:marRight w:val="0"/>
      <w:marTop w:val="0"/>
      <w:marBottom w:val="0"/>
      <w:divBdr>
        <w:top w:val="none" w:sz="0" w:space="0" w:color="auto"/>
        <w:left w:val="none" w:sz="0" w:space="0" w:color="auto"/>
        <w:bottom w:val="none" w:sz="0" w:space="0" w:color="auto"/>
        <w:right w:val="none" w:sz="0" w:space="0" w:color="auto"/>
      </w:divBdr>
    </w:div>
    <w:div w:id="126363502">
      <w:bodyDiv w:val="1"/>
      <w:marLeft w:val="0"/>
      <w:marRight w:val="0"/>
      <w:marTop w:val="0"/>
      <w:marBottom w:val="0"/>
      <w:divBdr>
        <w:top w:val="none" w:sz="0" w:space="0" w:color="auto"/>
        <w:left w:val="none" w:sz="0" w:space="0" w:color="auto"/>
        <w:bottom w:val="none" w:sz="0" w:space="0" w:color="auto"/>
        <w:right w:val="none" w:sz="0" w:space="0" w:color="auto"/>
      </w:divBdr>
    </w:div>
    <w:div w:id="126557455">
      <w:bodyDiv w:val="1"/>
      <w:marLeft w:val="0"/>
      <w:marRight w:val="0"/>
      <w:marTop w:val="0"/>
      <w:marBottom w:val="0"/>
      <w:divBdr>
        <w:top w:val="none" w:sz="0" w:space="0" w:color="auto"/>
        <w:left w:val="none" w:sz="0" w:space="0" w:color="auto"/>
        <w:bottom w:val="none" w:sz="0" w:space="0" w:color="auto"/>
        <w:right w:val="none" w:sz="0" w:space="0" w:color="auto"/>
      </w:divBdr>
    </w:div>
    <w:div w:id="191312260">
      <w:bodyDiv w:val="1"/>
      <w:marLeft w:val="0"/>
      <w:marRight w:val="0"/>
      <w:marTop w:val="0"/>
      <w:marBottom w:val="0"/>
      <w:divBdr>
        <w:top w:val="none" w:sz="0" w:space="0" w:color="auto"/>
        <w:left w:val="none" w:sz="0" w:space="0" w:color="auto"/>
        <w:bottom w:val="none" w:sz="0" w:space="0" w:color="auto"/>
        <w:right w:val="none" w:sz="0" w:space="0" w:color="auto"/>
      </w:divBdr>
    </w:div>
    <w:div w:id="205290110">
      <w:bodyDiv w:val="1"/>
      <w:marLeft w:val="0"/>
      <w:marRight w:val="0"/>
      <w:marTop w:val="0"/>
      <w:marBottom w:val="0"/>
      <w:divBdr>
        <w:top w:val="none" w:sz="0" w:space="0" w:color="auto"/>
        <w:left w:val="none" w:sz="0" w:space="0" w:color="auto"/>
        <w:bottom w:val="none" w:sz="0" w:space="0" w:color="auto"/>
        <w:right w:val="none" w:sz="0" w:space="0" w:color="auto"/>
      </w:divBdr>
    </w:div>
    <w:div w:id="210849771">
      <w:bodyDiv w:val="1"/>
      <w:marLeft w:val="0"/>
      <w:marRight w:val="0"/>
      <w:marTop w:val="0"/>
      <w:marBottom w:val="0"/>
      <w:divBdr>
        <w:top w:val="none" w:sz="0" w:space="0" w:color="auto"/>
        <w:left w:val="none" w:sz="0" w:space="0" w:color="auto"/>
        <w:bottom w:val="none" w:sz="0" w:space="0" w:color="auto"/>
        <w:right w:val="none" w:sz="0" w:space="0" w:color="auto"/>
      </w:divBdr>
    </w:div>
    <w:div w:id="215968607">
      <w:bodyDiv w:val="1"/>
      <w:marLeft w:val="0"/>
      <w:marRight w:val="0"/>
      <w:marTop w:val="0"/>
      <w:marBottom w:val="0"/>
      <w:divBdr>
        <w:top w:val="none" w:sz="0" w:space="0" w:color="auto"/>
        <w:left w:val="none" w:sz="0" w:space="0" w:color="auto"/>
        <w:bottom w:val="none" w:sz="0" w:space="0" w:color="auto"/>
        <w:right w:val="none" w:sz="0" w:space="0" w:color="auto"/>
      </w:divBdr>
    </w:div>
    <w:div w:id="218830349">
      <w:bodyDiv w:val="1"/>
      <w:marLeft w:val="0"/>
      <w:marRight w:val="0"/>
      <w:marTop w:val="0"/>
      <w:marBottom w:val="0"/>
      <w:divBdr>
        <w:top w:val="none" w:sz="0" w:space="0" w:color="auto"/>
        <w:left w:val="none" w:sz="0" w:space="0" w:color="auto"/>
        <w:bottom w:val="none" w:sz="0" w:space="0" w:color="auto"/>
        <w:right w:val="none" w:sz="0" w:space="0" w:color="auto"/>
      </w:divBdr>
    </w:div>
    <w:div w:id="244151793">
      <w:bodyDiv w:val="1"/>
      <w:marLeft w:val="0"/>
      <w:marRight w:val="0"/>
      <w:marTop w:val="0"/>
      <w:marBottom w:val="0"/>
      <w:divBdr>
        <w:top w:val="none" w:sz="0" w:space="0" w:color="auto"/>
        <w:left w:val="none" w:sz="0" w:space="0" w:color="auto"/>
        <w:bottom w:val="none" w:sz="0" w:space="0" w:color="auto"/>
        <w:right w:val="none" w:sz="0" w:space="0" w:color="auto"/>
      </w:divBdr>
    </w:div>
    <w:div w:id="247347654">
      <w:bodyDiv w:val="1"/>
      <w:marLeft w:val="0"/>
      <w:marRight w:val="0"/>
      <w:marTop w:val="0"/>
      <w:marBottom w:val="0"/>
      <w:divBdr>
        <w:top w:val="none" w:sz="0" w:space="0" w:color="auto"/>
        <w:left w:val="none" w:sz="0" w:space="0" w:color="auto"/>
        <w:bottom w:val="none" w:sz="0" w:space="0" w:color="auto"/>
        <w:right w:val="none" w:sz="0" w:space="0" w:color="auto"/>
      </w:divBdr>
    </w:div>
    <w:div w:id="254485755">
      <w:bodyDiv w:val="1"/>
      <w:marLeft w:val="0"/>
      <w:marRight w:val="0"/>
      <w:marTop w:val="0"/>
      <w:marBottom w:val="0"/>
      <w:divBdr>
        <w:top w:val="none" w:sz="0" w:space="0" w:color="auto"/>
        <w:left w:val="none" w:sz="0" w:space="0" w:color="auto"/>
        <w:bottom w:val="none" w:sz="0" w:space="0" w:color="auto"/>
        <w:right w:val="none" w:sz="0" w:space="0" w:color="auto"/>
      </w:divBdr>
    </w:div>
    <w:div w:id="316765582">
      <w:bodyDiv w:val="1"/>
      <w:marLeft w:val="0"/>
      <w:marRight w:val="0"/>
      <w:marTop w:val="0"/>
      <w:marBottom w:val="0"/>
      <w:divBdr>
        <w:top w:val="none" w:sz="0" w:space="0" w:color="auto"/>
        <w:left w:val="none" w:sz="0" w:space="0" w:color="auto"/>
        <w:bottom w:val="none" w:sz="0" w:space="0" w:color="auto"/>
        <w:right w:val="none" w:sz="0" w:space="0" w:color="auto"/>
      </w:divBdr>
    </w:div>
    <w:div w:id="334309320">
      <w:bodyDiv w:val="1"/>
      <w:marLeft w:val="0"/>
      <w:marRight w:val="0"/>
      <w:marTop w:val="0"/>
      <w:marBottom w:val="0"/>
      <w:divBdr>
        <w:top w:val="none" w:sz="0" w:space="0" w:color="auto"/>
        <w:left w:val="none" w:sz="0" w:space="0" w:color="auto"/>
        <w:bottom w:val="none" w:sz="0" w:space="0" w:color="auto"/>
        <w:right w:val="none" w:sz="0" w:space="0" w:color="auto"/>
      </w:divBdr>
    </w:div>
    <w:div w:id="336150945">
      <w:bodyDiv w:val="1"/>
      <w:marLeft w:val="0"/>
      <w:marRight w:val="0"/>
      <w:marTop w:val="0"/>
      <w:marBottom w:val="0"/>
      <w:divBdr>
        <w:top w:val="none" w:sz="0" w:space="0" w:color="auto"/>
        <w:left w:val="none" w:sz="0" w:space="0" w:color="auto"/>
        <w:bottom w:val="none" w:sz="0" w:space="0" w:color="auto"/>
        <w:right w:val="none" w:sz="0" w:space="0" w:color="auto"/>
      </w:divBdr>
    </w:div>
    <w:div w:id="415059661">
      <w:bodyDiv w:val="1"/>
      <w:marLeft w:val="0"/>
      <w:marRight w:val="0"/>
      <w:marTop w:val="0"/>
      <w:marBottom w:val="0"/>
      <w:divBdr>
        <w:top w:val="none" w:sz="0" w:space="0" w:color="auto"/>
        <w:left w:val="none" w:sz="0" w:space="0" w:color="auto"/>
        <w:bottom w:val="none" w:sz="0" w:space="0" w:color="auto"/>
        <w:right w:val="none" w:sz="0" w:space="0" w:color="auto"/>
      </w:divBdr>
    </w:div>
    <w:div w:id="436095921">
      <w:bodyDiv w:val="1"/>
      <w:marLeft w:val="0"/>
      <w:marRight w:val="0"/>
      <w:marTop w:val="0"/>
      <w:marBottom w:val="0"/>
      <w:divBdr>
        <w:top w:val="none" w:sz="0" w:space="0" w:color="auto"/>
        <w:left w:val="none" w:sz="0" w:space="0" w:color="auto"/>
        <w:bottom w:val="none" w:sz="0" w:space="0" w:color="auto"/>
        <w:right w:val="none" w:sz="0" w:space="0" w:color="auto"/>
      </w:divBdr>
    </w:div>
    <w:div w:id="442577250">
      <w:bodyDiv w:val="1"/>
      <w:marLeft w:val="0"/>
      <w:marRight w:val="0"/>
      <w:marTop w:val="0"/>
      <w:marBottom w:val="0"/>
      <w:divBdr>
        <w:top w:val="none" w:sz="0" w:space="0" w:color="auto"/>
        <w:left w:val="none" w:sz="0" w:space="0" w:color="auto"/>
        <w:bottom w:val="none" w:sz="0" w:space="0" w:color="auto"/>
        <w:right w:val="none" w:sz="0" w:space="0" w:color="auto"/>
      </w:divBdr>
    </w:div>
    <w:div w:id="445467820">
      <w:bodyDiv w:val="1"/>
      <w:marLeft w:val="0"/>
      <w:marRight w:val="0"/>
      <w:marTop w:val="0"/>
      <w:marBottom w:val="0"/>
      <w:divBdr>
        <w:top w:val="none" w:sz="0" w:space="0" w:color="auto"/>
        <w:left w:val="none" w:sz="0" w:space="0" w:color="auto"/>
        <w:bottom w:val="none" w:sz="0" w:space="0" w:color="auto"/>
        <w:right w:val="none" w:sz="0" w:space="0" w:color="auto"/>
      </w:divBdr>
    </w:div>
    <w:div w:id="490801838">
      <w:bodyDiv w:val="1"/>
      <w:marLeft w:val="0"/>
      <w:marRight w:val="0"/>
      <w:marTop w:val="0"/>
      <w:marBottom w:val="0"/>
      <w:divBdr>
        <w:top w:val="none" w:sz="0" w:space="0" w:color="auto"/>
        <w:left w:val="none" w:sz="0" w:space="0" w:color="auto"/>
        <w:bottom w:val="none" w:sz="0" w:space="0" w:color="auto"/>
        <w:right w:val="none" w:sz="0" w:space="0" w:color="auto"/>
      </w:divBdr>
    </w:div>
    <w:div w:id="537744673">
      <w:bodyDiv w:val="1"/>
      <w:marLeft w:val="0"/>
      <w:marRight w:val="0"/>
      <w:marTop w:val="0"/>
      <w:marBottom w:val="0"/>
      <w:divBdr>
        <w:top w:val="none" w:sz="0" w:space="0" w:color="auto"/>
        <w:left w:val="none" w:sz="0" w:space="0" w:color="auto"/>
        <w:bottom w:val="none" w:sz="0" w:space="0" w:color="auto"/>
        <w:right w:val="none" w:sz="0" w:space="0" w:color="auto"/>
      </w:divBdr>
    </w:div>
    <w:div w:id="568031267">
      <w:bodyDiv w:val="1"/>
      <w:marLeft w:val="0"/>
      <w:marRight w:val="0"/>
      <w:marTop w:val="0"/>
      <w:marBottom w:val="0"/>
      <w:divBdr>
        <w:top w:val="none" w:sz="0" w:space="0" w:color="auto"/>
        <w:left w:val="none" w:sz="0" w:space="0" w:color="auto"/>
        <w:bottom w:val="none" w:sz="0" w:space="0" w:color="auto"/>
        <w:right w:val="none" w:sz="0" w:space="0" w:color="auto"/>
      </w:divBdr>
    </w:div>
    <w:div w:id="590358957">
      <w:bodyDiv w:val="1"/>
      <w:marLeft w:val="0"/>
      <w:marRight w:val="0"/>
      <w:marTop w:val="0"/>
      <w:marBottom w:val="0"/>
      <w:divBdr>
        <w:top w:val="none" w:sz="0" w:space="0" w:color="auto"/>
        <w:left w:val="none" w:sz="0" w:space="0" w:color="auto"/>
        <w:bottom w:val="none" w:sz="0" w:space="0" w:color="auto"/>
        <w:right w:val="none" w:sz="0" w:space="0" w:color="auto"/>
      </w:divBdr>
    </w:div>
    <w:div w:id="607783592">
      <w:bodyDiv w:val="1"/>
      <w:marLeft w:val="0"/>
      <w:marRight w:val="0"/>
      <w:marTop w:val="0"/>
      <w:marBottom w:val="0"/>
      <w:divBdr>
        <w:top w:val="none" w:sz="0" w:space="0" w:color="auto"/>
        <w:left w:val="none" w:sz="0" w:space="0" w:color="auto"/>
        <w:bottom w:val="none" w:sz="0" w:space="0" w:color="auto"/>
        <w:right w:val="none" w:sz="0" w:space="0" w:color="auto"/>
      </w:divBdr>
    </w:div>
    <w:div w:id="622659134">
      <w:bodyDiv w:val="1"/>
      <w:marLeft w:val="0"/>
      <w:marRight w:val="0"/>
      <w:marTop w:val="0"/>
      <w:marBottom w:val="0"/>
      <w:divBdr>
        <w:top w:val="none" w:sz="0" w:space="0" w:color="auto"/>
        <w:left w:val="none" w:sz="0" w:space="0" w:color="auto"/>
        <w:bottom w:val="none" w:sz="0" w:space="0" w:color="auto"/>
        <w:right w:val="none" w:sz="0" w:space="0" w:color="auto"/>
      </w:divBdr>
    </w:div>
    <w:div w:id="649986534">
      <w:bodyDiv w:val="1"/>
      <w:marLeft w:val="0"/>
      <w:marRight w:val="0"/>
      <w:marTop w:val="0"/>
      <w:marBottom w:val="0"/>
      <w:divBdr>
        <w:top w:val="none" w:sz="0" w:space="0" w:color="auto"/>
        <w:left w:val="none" w:sz="0" w:space="0" w:color="auto"/>
        <w:bottom w:val="none" w:sz="0" w:space="0" w:color="auto"/>
        <w:right w:val="none" w:sz="0" w:space="0" w:color="auto"/>
      </w:divBdr>
    </w:div>
    <w:div w:id="652562682">
      <w:bodyDiv w:val="1"/>
      <w:marLeft w:val="0"/>
      <w:marRight w:val="0"/>
      <w:marTop w:val="0"/>
      <w:marBottom w:val="0"/>
      <w:divBdr>
        <w:top w:val="none" w:sz="0" w:space="0" w:color="auto"/>
        <w:left w:val="none" w:sz="0" w:space="0" w:color="auto"/>
        <w:bottom w:val="none" w:sz="0" w:space="0" w:color="auto"/>
        <w:right w:val="none" w:sz="0" w:space="0" w:color="auto"/>
      </w:divBdr>
    </w:div>
    <w:div w:id="663969510">
      <w:bodyDiv w:val="1"/>
      <w:marLeft w:val="0"/>
      <w:marRight w:val="0"/>
      <w:marTop w:val="0"/>
      <w:marBottom w:val="0"/>
      <w:divBdr>
        <w:top w:val="none" w:sz="0" w:space="0" w:color="auto"/>
        <w:left w:val="none" w:sz="0" w:space="0" w:color="auto"/>
        <w:bottom w:val="none" w:sz="0" w:space="0" w:color="auto"/>
        <w:right w:val="none" w:sz="0" w:space="0" w:color="auto"/>
      </w:divBdr>
    </w:div>
    <w:div w:id="684743556">
      <w:bodyDiv w:val="1"/>
      <w:marLeft w:val="0"/>
      <w:marRight w:val="0"/>
      <w:marTop w:val="0"/>
      <w:marBottom w:val="0"/>
      <w:divBdr>
        <w:top w:val="none" w:sz="0" w:space="0" w:color="auto"/>
        <w:left w:val="none" w:sz="0" w:space="0" w:color="auto"/>
        <w:bottom w:val="none" w:sz="0" w:space="0" w:color="auto"/>
        <w:right w:val="none" w:sz="0" w:space="0" w:color="auto"/>
      </w:divBdr>
    </w:div>
    <w:div w:id="685250525">
      <w:bodyDiv w:val="1"/>
      <w:marLeft w:val="0"/>
      <w:marRight w:val="0"/>
      <w:marTop w:val="0"/>
      <w:marBottom w:val="0"/>
      <w:divBdr>
        <w:top w:val="none" w:sz="0" w:space="0" w:color="auto"/>
        <w:left w:val="none" w:sz="0" w:space="0" w:color="auto"/>
        <w:bottom w:val="none" w:sz="0" w:space="0" w:color="auto"/>
        <w:right w:val="none" w:sz="0" w:space="0" w:color="auto"/>
      </w:divBdr>
    </w:div>
    <w:div w:id="715202635">
      <w:bodyDiv w:val="1"/>
      <w:marLeft w:val="0"/>
      <w:marRight w:val="0"/>
      <w:marTop w:val="0"/>
      <w:marBottom w:val="0"/>
      <w:divBdr>
        <w:top w:val="none" w:sz="0" w:space="0" w:color="auto"/>
        <w:left w:val="none" w:sz="0" w:space="0" w:color="auto"/>
        <w:bottom w:val="none" w:sz="0" w:space="0" w:color="auto"/>
        <w:right w:val="none" w:sz="0" w:space="0" w:color="auto"/>
      </w:divBdr>
    </w:div>
    <w:div w:id="732198782">
      <w:bodyDiv w:val="1"/>
      <w:marLeft w:val="0"/>
      <w:marRight w:val="0"/>
      <w:marTop w:val="0"/>
      <w:marBottom w:val="0"/>
      <w:divBdr>
        <w:top w:val="none" w:sz="0" w:space="0" w:color="auto"/>
        <w:left w:val="none" w:sz="0" w:space="0" w:color="auto"/>
        <w:bottom w:val="none" w:sz="0" w:space="0" w:color="auto"/>
        <w:right w:val="none" w:sz="0" w:space="0" w:color="auto"/>
      </w:divBdr>
    </w:div>
    <w:div w:id="743062590">
      <w:bodyDiv w:val="1"/>
      <w:marLeft w:val="0"/>
      <w:marRight w:val="0"/>
      <w:marTop w:val="0"/>
      <w:marBottom w:val="0"/>
      <w:divBdr>
        <w:top w:val="none" w:sz="0" w:space="0" w:color="auto"/>
        <w:left w:val="none" w:sz="0" w:space="0" w:color="auto"/>
        <w:bottom w:val="none" w:sz="0" w:space="0" w:color="auto"/>
        <w:right w:val="none" w:sz="0" w:space="0" w:color="auto"/>
      </w:divBdr>
    </w:div>
    <w:div w:id="744105726">
      <w:bodyDiv w:val="1"/>
      <w:marLeft w:val="0"/>
      <w:marRight w:val="0"/>
      <w:marTop w:val="0"/>
      <w:marBottom w:val="0"/>
      <w:divBdr>
        <w:top w:val="none" w:sz="0" w:space="0" w:color="auto"/>
        <w:left w:val="none" w:sz="0" w:space="0" w:color="auto"/>
        <w:bottom w:val="none" w:sz="0" w:space="0" w:color="auto"/>
        <w:right w:val="none" w:sz="0" w:space="0" w:color="auto"/>
      </w:divBdr>
    </w:div>
    <w:div w:id="773525231">
      <w:bodyDiv w:val="1"/>
      <w:marLeft w:val="0"/>
      <w:marRight w:val="0"/>
      <w:marTop w:val="0"/>
      <w:marBottom w:val="0"/>
      <w:divBdr>
        <w:top w:val="none" w:sz="0" w:space="0" w:color="auto"/>
        <w:left w:val="none" w:sz="0" w:space="0" w:color="auto"/>
        <w:bottom w:val="none" w:sz="0" w:space="0" w:color="auto"/>
        <w:right w:val="none" w:sz="0" w:space="0" w:color="auto"/>
      </w:divBdr>
    </w:div>
    <w:div w:id="812523234">
      <w:bodyDiv w:val="1"/>
      <w:marLeft w:val="0"/>
      <w:marRight w:val="0"/>
      <w:marTop w:val="0"/>
      <w:marBottom w:val="0"/>
      <w:divBdr>
        <w:top w:val="none" w:sz="0" w:space="0" w:color="auto"/>
        <w:left w:val="none" w:sz="0" w:space="0" w:color="auto"/>
        <w:bottom w:val="none" w:sz="0" w:space="0" w:color="auto"/>
        <w:right w:val="none" w:sz="0" w:space="0" w:color="auto"/>
      </w:divBdr>
    </w:div>
    <w:div w:id="816915332">
      <w:bodyDiv w:val="1"/>
      <w:marLeft w:val="0"/>
      <w:marRight w:val="0"/>
      <w:marTop w:val="0"/>
      <w:marBottom w:val="0"/>
      <w:divBdr>
        <w:top w:val="none" w:sz="0" w:space="0" w:color="auto"/>
        <w:left w:val="none" w:sz="0" w:space="0" w:color="auto"/>
        <w:bottom w:val="none" w:sz="0" w:space="0" w:color="auto"/>
        <w:right w:val="none" w:sz="0" w:space="0" w:color="auto"/>
      </w:divBdr>
    </w:div>
    <w:div w:id="849493326">
      <w:bodyDiv w:val="1"/>
      <w:marLeft w:val="0"/>
      <w:marRight w:val="0"/>
      <w:marTop w:val="0"/>
      <w:marBottom w:val="0"/>
      <w:divBdr>
        <w:top w:val="none" w:sz="0" w:space="0" w:color="auto"/>
        <w:left w:val="none" w:sz="0" w:space="0" w:color="auto"/>
        <w:bottom w:val="none" w:sz="0" w:space="0" w:color="auto"/>
        <w:right w:val="none" w:sz="0" w:space="0" w:color="auto"/>
      </w:divBdr>
    </w:div>
    <w:div w:id="856188668">
      <w:bodyDiv w:val="1"/>
      <w:marLeft w:val="0"/>
      <w:marRight w:val="0"/>
      <w:marTop w:val="0"/>
      <w:marBottom w:val="0"/>
      <w:divBdr>
        <w:top w:val="none" w:sz="0" w:space="0" w:color="auto"/>
        <w:left w:val="none" w:sz="0" w:space="0" w:color="auto"/>
        <w:bottom w:val="none" w:sz="0" w:space="0" w:color="auto"/>
        <w:right w:val="none" w:sz="0" w:space="0" w:color="auto"/>
      </w:divBdr>
    </w:div>
    <w:div w:id="865024181">
      <w:bodyDiv w:val="1"/>
      <w:marLeft w:val="0"/>
      <w:marRight w:val="0"/>
      <w:marTop w:val="0"/>
      <w:marBottom w:val="0"/>
      <w:divBdr>
        <w:top w:val="none" w:sz="0" w:space="0" w:color="auto"/>
        <w:left w:val="none" w:sz="0" w:space="0" w:color="auto"/>
        <w:bottom w:val="none" w:sz="0" w:space="0" w:color="auto"/>
        <w:right w:val="none" w:sz="0" w:space="0" w:color="auto"/>
      </w:divBdr>
    </w:div>
    <w:div w:id="889997145">
      <w:bodyDiv w:val="1"/>
      <w:marLeft w:val="0"/>
      <w:marRight w:val="0"/>
      <w:marTop w:val="0"/>
      <w:marBottom w:val="0"/>
      <w:divBdr>
        <w:top w:val="none" w:sz="0" w:space="0" w:color="auto"/>
        <w:left w:val="none" w:sz="0" w:space="0" w:color="auto"/>
        <w:bottom w:val="none" w:sz="0" w:space="0" w:color="auto"/>
        <w:right w:val="none" w:sz="0" w:space="0" w:color="auto"/>
      </w:divBdr>
    </w:div>
    <w:div w:id="897397022">
      <w:bodyDiv w:val="1"/>
      <w:marLeft w:val="0"/>
      <w:marRight w:val="0"/>
      <w:marTop w:val="0"/>
      <w:marBottom w:val="0"/>
      <w:divBdr>
        <w:top w:val="none" w:sz="0" w:space="0" w:color="auto"/>
        <w:left w:val="none" w:sz="0" w:space="0" w:color="auto"/>
        <w:bottom w:val="none" w:sz="0" w:space="0" w:color="auto"/>
        <w:right w:val="none" w:sz="0" w:space="0" w:color="auto"/>
      </w:divBdr>
    </w:div>
    <w:div w:id="919825684">
      <w:bodyDiv w:val="1"/>
      <w:marLeft w:val="0"/>
      <w:marRight w:val="0"/>
      <w:marTop w:val="0"/>
      <w:marBottom w:val="0"/>
      <w:divBdr>
        <w:top w:val="none" w:sz="0" w:space="0" w:color="auto"/>
        <w:left w:val="none" w:sz="0" w:space="0" w:color="auto"/>
        <w:bottom w:val="none" w:sz="0" w:space="0" w:color="auto"/>
        <w:right w:val="none" w:sz="0" w:space="0" w:color="auto"/>
      </w:divBdr>
    </w:div>
    <w:div w:id="928468359">
      <w:bodyDiv w:val="1"/>
      <w:marLeft w:val="0"/>
      <w:marRight w:val="0"/>
      <w:marTop w:val="0"/>
      <w:marBottom w:val="0"/>
      <w:divBdr>
        <w:top w:val="none" w:sz="0" w:space="0" w:color="auto"/>
        <w:left w:val="none" w:sz="0" w:space="0" w:color="auto"/>
        <w:bottom w:val="none" w:sz="0" w:space="0" w:color="auto"/>
        <w:right w:val="none" w:sz="0" w:space="0" w:color="auto"/>
      </w:divBdr>
    </w:div>
    <w:div w:id="948968259">
      <w:bodyDiv w:val="1"/>
      <w:marLeft w:val="0"/>
      <w:marRight w:val="0"/>
      <w:marTop w:val="0"/>
      <w:marBottom w:val="0"/>
      <w:divBdr>
        <w:top w:val="none" w:sz="0" w:space="0" w:color="auto"/>
        <w:left w:val="none" w:sz="0" w:space="0" w:color="auto"/>
        <w:bottom w:val="none" w:sz="0" w:space="0" w:color="auto"/>
        <w:right w:val="none" w:sz="0" w:space="0" w:color="auto"/>
      </w:divBdr>
    </w:div>
    <w:div w:id="968318257">
      <w:bodyDiv w:val="1"/>
      <w:marLeft w:val="0"/>
      <w:marRight w:val="0"/>
      <w:marTop w:val="0"/>
      <w:marBottom w:val="0"/>
      <w:divBdr>
        <w:top w:val="none" w:sz="0" w:space="0" w:color="auto"/>
        <w:left w:val="none" w:sz="0" w:space="0" w:color="auto"/>
        <w:bottom w:val="none" w:sz="0" w:space="0" w:color="auto"/>
        <w:right w:val="none" w:sz="0" w:space="0" w:color="auto"/>
      </w:divBdr>
    </w:div>
    <w:div w:id="981424753">
      <w:bodyDiv w:val="1"/>
      <w:marLeft w:val="0"/>
      <w:marRight w:val="0"/>
      <w:marTop w:val="0"/>
      <w:marBottom w:val="0"/>
      <w:divBdr>
        <w:top w:val="none" w:sz="0" w:space="0" w:color="auto"/>
        <w:left w:val="none" w:sz="0" w:space="0" w:color="auto"/>
        <w:bottom w:val="none" w:sz="0" w:space="0" w:color="auto"/>
        <w:right w:val="none" w:sz="0" w:space="0" w:color="auto"/>
      </w:divBdr>
    </w:div>
    <w:div w:id="1009867488">
      <w:bodyDiv w:val="1"/>
      <w:marLeft w:val="0"/>
      <w:marRight w:val="0"/>
      <w:marTop w:val="0"/>
      <w:marBottom w:val="0"/>
      <w:divBdr>
        <w:top w:val="none" w:sz="0" w:space="0" w:color="auto"/>
        <w:left w:val="none" w:sz="0" w:space="0" w:color="auto"/>
        <w:bottom w:val="none" w:sz="0" w:space="0" w:color="auto"/>
        <w:right w:val="none" w:sz="0" w:space="0" w:color="auto"/>
      </w:divBdr>
    </w:div>
    <w:div w:id="1011956457">
      <w:bodyDiv w:val="1"/>
      <w:marLeft w:val="0"/>
      <w:marRight w:val="0"/>
      <w:marTop w:val="0"/>
      <w:marBottom w:val="0"/>
      <w:divBdr>
        <w:top w:val="none" w:sz="0" w:space="0" w:color="auto"/>
        <w:left w:val="none" w:sz="0" w:space="0" w:color="auto"/>
        <w:bottom w:val="none" w:sz="0" w:space="0" w:color="auto"/>
        <w:right w:val="none" w:sz="0" w:space="0" w:color="auto"/>
      </w:divBdr>
    </w:div>
    <w:div w:id="1040324622">
      <w:bodyDiv w:val="1"/>
      <w:marLeft w:val="0"/>
      <w:marRight w:val="0"/>
      <w:marTop w:val="0"/>
      <w:marBottom w:val="0"/>
      <w:divBdr>
        <w:top w:val="none" w:sz="0" w:space="0" w:color="auto"/>
        <w:left w:val="none" w:sz="0" w:space="0" w:color="auto"/>
        <w:bottom w:val="none" w:sz="0" w:space="0" w:color="auto"/>
        <w:right w:val="none" w:sz="0" w:space="0" w:color="auto"/>
      </w:divBdr>
    </w:div>
    <w:div w:id="1056776197">
      <w:bodyDiv w:val="1"/>
      <w:marLeft w:val="0"/>
      <w:marRight w:val="0"/>
      <w:marTop w:val="0"/>
      <w:marBottom w:val="0"/>
      <w:divBdr>
        <w:top w:val="none" w:sz="0" w:space="0" w:color="auto"/>
        <w:left w:val="none" w:sz="0" w:space="0" w:color="auto"/>
        <w:bottom w:val="none" w:sz="0" w:space="0" w:color="auto"/>
        <w:right w:val="none" w:sz="0" w:space="0" w:color="auto"/>
      </w:divBdr>
    </w:div>
    <w:div w:id="1082483155">
      <w:bodyDiv w:val="1"/>
      <w:marLeft w:val="0"/>
      <w:marRight w:val="0"/>
      <w:marTop w:val="0"/>
      <w:marBottom w:val="0"/>
      <w:divBdr>
        <w:top w:val="none" w:sz="0" w:space="0" w:color="auto"/>
        <w:left w:val="none" w:sz="0" w:space="0" w:color="auto"/>
        <w:bottom w:val="none" w:sz="0" w:space="0" w:color="auto"/>
        <w:right w:val="none" w:sz="0" w:space="0" w:color="auto"/>
      </w:divBdr>
    </w:div>
    <w:div w:id="1092236827">
      <w:bodyDiv w:val="1"/>
      <w:marLeft w:val="0"/>
      <w:marRight w:val="0"/>
      <w:marTop w:val="0"/>
      <w:marBottom w:val="0"/>
      <w:divBdr>
        <w:top w:val="none" w:sz="0" w:space="0" w:color="auto"/>
        <w:left w:val="none" w:sz="0" w:space="0" w:color="auto"/>
        <w:bottom w:val="none" w:sz="0" w:space="0" w:color="auto"/>
        <w:right w:val="none" w:sz="0" w:space="0" w:color="auto"/>
      </w:divBdr>
    </w:div>
    <w:div w:id="1094012306">
      <w:bodyDiv w:val="1"/>
      <w:marLeft w:val="0"/>
      <w:marRight w:val="0"/>
      <w:marTop w:val="0"/>
      <w:marBottom w:val="0"/>
      <w:divBdr>
        <w:top w:val="none" w:sz="0" w:space="0" w:color="auto"/>
        <w:left w:val="none" w:sz="0" w:space="0" w:color="auto"/>
        <w:bottom w:val="none" w:sz="0" w:space="0" w:color="auto"/>
        <w:right w:val="none" w:sz="0" w:space="0" w:color="auto"/>
      </w:divBdr>
    </w:div>
    <w:div w:id="1122460445">
      <w:bodyDiv w:val="1"/>
      <w:marLeft w:val="0"/>
      <w:marRight w:val="0"/>
      <w:marTop w:val="0"/>
      <w:marBottom w:val="0"/>
      <w:divBdr>
        <w:top w:val="none" w:sz="0" w:space="0" w:color="auto"/>
        <w:left w:val="none" w:sz="0" w:space="0" w:color="auto"/>
        <w:bottom w:val="none" w:sz="0" w:space="0" w:color="auto"/>
        <w:right w:val="none" w:sz="0" w:space="0" w:color="auto"/>
      </w:divBdr>
    </w:div>
    <w:div w:id="1132484907">
      <w:bodyDiv w:val="1"/>
      <w:marLeft w:val="0"/>
      <w:marRight w:val="0"/>
      <w:marTop w:val="0"/>
      <w:marBottom w:val="0"/>
      <w:divBdr>
        <w:top w:val="none" w:sz="0" w:space="0" w:color="auto"/>
        <w:left w:val="none" w:sz="0" w:space="0" w:color="auto"/>
        <w:bottom w:val="none" w:sz="0" w:space="0" w:color="auto"/>
        <w:right w:val="none" w:sz="0" w:space="0" w:color="auto"/>
      </w:divBdr>
    </w:div>
    <w:div w:id="1151096217">
      <w:bodyDiv w:val="1"/>
      <w:marLeft w:val="0"/>
      <w:marRight w:val="0"/>
      <w:marTop w:val="0"/>
      <w:marBottom w:val="0"/>
      <w:divBdr>
        <w:top w:val="none" w:sz="0" w:space="0" w:color="auto"/>
        <w:left w:val="none" w:sz="0" w:space="0" w:color="auto"/>
        <w:bottom w:val="none" w:sz="0" w:space="0" w:color="auto"/>
        <w:right w:val="none" w:sz="0" w:space="0" w:color="auto"/>
      </w:divBdr>
    </w:div>
    <w:div w:id="1172526942">
      <w:bodyDiv w:val="1"/>
      <w:marLeft w:val="0"/>
      <w:marRight w:val="0"/>
      <w:marTop w:val="0"/>
      <w:marBottom w:val="0"/>
      <w:divBdr>
        <w:top w:val="none" w:sz="0" w:space="0" w:color="auto"/>
        <w:left w:val="none" w:sz="0" w:space="0" w:color="auto"/>
        <w:bottom w:val="none" w:sz="0" w:space="0" w:color="auto"/>
        <w:right w:val="none" w:sz="0" w:space="0" w:color="auto"/>
      </w:divBdr>
    </w:div>
    <w:div w:id="1179346926">
      <w:bodyDiv w:val="1"/>
      <w:marLeft w:val="0"/>
      <w:marRight w:val="0"/>
      <w:marTop w:val="0"/>
      <w:marBottom w:val="0"/>
      <w:divBdr>
        <w:top w:val="none" w:sz="0" w:space="0" w:color="auto"/>
        <w:left w:val="none" w:sz="0" w:space="0" w:color="auto"/>
        <w:bottom w:val="none" w:sz="0" w:space="0" w:color="auto"/>
        <w:right w:val="none" w:sz="0" w:space="0" w:color="auto"/>
      </w:divBdr>
    </w:div>
    <w:div w:id="1185902489">
      <w:bodyDiv w:val="1"/>
      <w:marLeft w:val="0"/>
      <w:marRight w:val="0"/>
      <w:marTop w:val="0"/>
      <w:marBottom w:val="0"/>
      <w:divBdr>
        <w:top w:val="none" w:sz="0" w:space="0" w:color="auto"/>
        <w:left w:val="none" w:sz="0" w:space="0" w:color="auto"/>
        <w:bottom w:val="none" w:sz="0" w:space="0" w:color="auto"/>
        <w:right w:val="none" w:sz="0" w:space="0" w:color="auto"/>
      </w:divBdr>
    </w:div>
    <w:div w:id="1199319598">
      <w:bodyDiv w:val="1"/>
      <w:marLeft w:val="0"/>
      <w:marRight w:val="0"/>
      <w:marTop w:val="0"/>
      <w:marBottom w:val="0"/>
      <w:divBdr>
        <w:top w:val="none" w:sz="0" w:space="0" w:color="auto"/>
        <w:left w:val="none" w:sz="0" w:space="0" w:color="auto"/>
        <w:bottom w:val="none" w:sz="0" w:space="0" w:color="auto"/>
        <w:right w:val="none" w:sz="0" w:space="0" w:color="auto"/>
      </w:divBdr>
    </w:div>
    <w:div w:id="1212962488">
      <w:bodyDiv w:val="1"/>
      <w:marLeft w:val="0"/>
      <w:marRight w:val="0"/>
      <w:marTop w:val="0"/>
      <w:marBottom w:val="0"/>
      <w:divBdr>
        <w:top w:val="none" w:sz="0" w:space="0" w:color="auto"/>
        <w:left w:val="none" w:sz="0" w:space="0" w:color="auto"/>
        <w:bottom w:val="none" w:sz="0" w:space="0" w:color="auto"/>
        <w:right w:val="none" w:sz="0" w:space="0" w:color="auto"/>
      </w:divBdr>
    </w:div>
    <w:div w:id="1219976290">
      <w:bodyDiv w:val="1"/>
      <w:marLeft w:val="0"/>
      <w:marRight w:val="0"/>
      <w:marTop w:val="0"/>
      <w:marBottom w:val="0"/>
      <w:divBdr>
        <w:top w:val="none" w:sz="0" w:space="0" w:color="auto"/>
        <w:left w:val="none" w:sz="0" w:space="0" w:color="auto"/>
        <w:bottom w:val="none" w:sz="0" w:space="0" w:color="auto"/>
        <w:right w:val="none" w:sz="0" w:space="0" w:color="auto"/>
      </w:divBdr>
    </w:div>
    <w:div w:id="1222709571">
      <w:bodyDiv w:val="1"/>
      <w:marLeft w:val="0"/>
      <w:marRight w:val="0"/>
      <w:marTop w:val="0"/>
      <w:marBottom w:val="0"/>
      <w:divBdr>
        <w:top w:val="none" w:sz="0" w:space="0" w:color="auto"/>
        <w:left w:val="none" w:sz="0" w:space="0" w:color="auto"/>
        <w:bottom w:val="none" w:sz="0" w:space="0" w:color="auto"/>
        <w:right w:val="none" w:sz="0" w:space="0" w:color="auto"/>
      </w:divBdr>
    </w:div>
    <w:div w:id="1282877673">
      <w:bodyDiv w:val="1"/>
      <w:marLeft w:val="0"/>
      <w:marRight w:val="0"/>
      <w:marTop w:val="0"/>
      <w:marBottom w:val="0"/>
      <w:divBdr>
        <w:top w:val="none" w:sz="0" w:space="0" w:color="auto"/>
        <w:left w:val="none" w:sz="0" w:space="0" w:color="auto"/>
        <w:bottom w:val="none" w:sz="0" w:space="0" w:color="auto"/>
        <w:right w:val="none" w:sz="0" w:space="0" w:color="auto"/>
      </w:divBdr>
    </w:div>
    <w:div w:id="1285313061">
      <w:bodyDiv w:val="1"/>
      <w:marLeft w:val="0"/>
      <w:marRight w:val="0"/>
      <w:marTop w:val="0"/>
      <w:marBottom w:val="0"/>
      <w:divBdr>
        <w:top w:val="none" w:sz="0" w:space="0" w:color="auto"/>
        <w:left w:val="none" w:sz="0" w:space="0" w:color="auto"/>
        <w:bottom w:val="none" w:sz="0" w:space="0" w:color="auto"/>
        <w:right w:val="none" w:sz="0" w:space="0" w:color="auto"/>
      </w:divBdr>
    </w:div>
    <w:div w:id="1288777321">
      <w:bodyDiv w:val="1"/>
      <w:marLeft w:val="0"/>
      <w:marRight w:val="0"/>
      <w:marTop w:val="0"/>
      <w:marBottom w:val="0"/>
      <w:divBdr>
        <w:top w:val="none" w:sz="0" w:space="0" w:color="auto"/>
        <w:left w:val="none" w:sz="0" w:space="0" w:color="auto"/>
        <w:bottom w:val="none" w:sz="0" w:space="0" w:color="auto"/>
        <w:right w:val="none" w:sz="0" w:space="0" w:color="auto"/>
      </w:divBdr>
    </w:div>
    <w:div w:id="1337997430">
      <w:bodyDiv w:val="1"/>
      <w:marLeft w:val="0"/>
      <w:marRight w:val="0"/>
      <w:marTop w:val="0"/>
      <w:marBottom w:val="0"/>
      <w:divBdr>
        <w:top w:val="none" w:sz="0" w:space="0" w:color="auto"/>
        <w:left w:val="none" w:sz="0" w:space="0" w:color="auto"/>
        <w:bottom w:val="none" w:sz="0" w:space="0" w:color="auto"/>
        <w:right w:val="none" w:sz="0" w:space="0" w:color="auto"/>
      </w:divBdr>
    </w:div>
    <w:div w:id="1350835144">
      <w:bodyDiv w:val="1"/>
      <w:marLeft w:val="0"/>
      <w:marRight w:val="0"/>
      <w:marTop w:val="0"/>
      <w:marBottom w:val="0"/>
      <w:divBdr>
        <w:top w:val="none" w:sz="0" w:space="0" w:color="auto"/>
        <w:left w:val="none" w:sz="0" w:space="0" w:color="auto"/>
        <w:bottom w:val="none" w:sz="0" w:space="0" w:color="auto"/>
        <w:right w:val="none" w:sz="0" w:space="0" w:color="auto"/>
      </w:divBdr>
    </w:div>
    <w:div w:id="1369070093">
      <w:bodyDiv w:val="1"/>
      <w:marLeft w:val="0"/>
      <w:marRight w:val="0"/>
      <w:marTop w:val="0"/>
      <w:marBottom w:val="0"/>
      <w:divBdr>
        <w:top w:val="none" w:sz="0" w:space="0" w:color="auto"/>
        <w:left w:val="none" w:sz="0" w:space="0" w:color="auto"/>
        <w:bottom w:val="none" w:sz="0" w:space="0" w:color="auto"/>
        <w:right w:val="none" w:sz="0" w:space="0" w:color="auto"/>
      </w:divBdr>
    </w:div>
    <w:div w:id="1374496793">
      <w:bodyDiv w:val="1"/>
      <w:marLeft w:val="0"/>
      <w:marRight w:val="0"/>
      <w:marTop w:val="0"/>
      <w:marBottom w:val="0"/>
      <w:divBdr>
        <w:top w:val="none" w:sz="0" w:space="0" w:color="auto"/>
        <w:left w:val="none" w:sz="0" w:space="0" w:color="auto"/>
        <w:bottom w:val="none" w:sz="0" w:space="0" w:color="auto"/>
        <w:right w:val="none" w:sz="0" w:space="0" w:color="auto"/>
      </w:divBdr>
    </w:div>
    <w:div w:id="1393190157">
      <w:bodyDiv w:val="1"/>
      <w:marLeft w:val="0"/>
      <w:marRight w:val="0"/>
      <w:marTop w:val="0"/>
      <w:marBottom w:val="0"/>
      <w:divBdr>
        <w:top w:val="none" w:sz="0" w:space="0" w:color="auto"/>
        <w:left w:val="none" w:sz="0" w:space="0" w:color="auto"/>
        <w:bottom w:val="none" w:sz="0" w:space="0" w:color="auto"/>
        <w:right w:val="none" w:sz="0" w:space="0" w:color="auto"/>
      </w:divBdr>
    </w:div>
    <w:div w:id="1398555723">
      <w:bodyDiv w:val="1"/>
      <w:marLeft w:val="0"/>
      <w:marRight w:val="0"/>
      <w:marTop w:val="0"/>
      <w:marBottom w:val="0"/>
      <w:divBdr>
        <w:top w:val="none" w:sz="0" w:space="0" w:color="auto"/>
        <w:left w:val="none" w:sz="0" w:space="0" w:color="auto"/>
        <w:bottom w:val="none" w:sz="0" w:space="0" w:color="auto"/>
        <w:right w:val="none" w:sz="0" w:space="0" w:color="auto"/>
      </w:divBdr>
    </w:div>
    <w:div w:id="1400401079">
      <w:bodyDiv w:val="1"/>
      <w:marLeft w:val="0"/>
      <w:marRight w:val="0"/>
      <w:marTop w:val="0"/>
      <w:marBottom w:val="0"/>
      <w:divBdr>
        <w:top w:val="none" w:sz="0" w:space="0" w:color="auto"/>
        <w:left w:val="none" w:sz="0" w:space="0" w:color="auto"/>
        <w:bottom w:val="none" w:sz="0" w:space="0" w:color="auto"/>
        <w:right w:val="none" w:sz="0" w:space="0" w:color="auto"/>
      </w:divBdr>
    </w:div>
    <w:div w:id="1405951752">
      <w:bodyDiv w:val="1"/>
      <w:marLeft w:val="0"/>
      <w:marRight w:val="0"/>
      <w:marTop w:val="0"/>
      <w:marBottom w:val="0"/>
      <w:divBdr>
        <w:top w:val="none" w:sz="0" w:space="0" w:color="auto"/>
        <w:left w:val="none" w:sz="0" w:space="0" w:color="auto"/>
        <w:bottom w:val="none" w:sz="0" w:space="0" w:color="auto"/>
        <w:right w:val="none" w:sz="0" w:space="0" w:color="auto"/>
      </w:divBdr>
    </w:div>
    <w:div w:id="1420758959">
      <w:bodyDiv w:val="1"/>
      <w:marLeft w:val="0"/>
      <w:marRight w:val="0"/>
      <w:marTop w:val="0"/>
      <w:marBottom w:val="0"/>
      <w:divBdr>
        <w:top w:val="none" w:sz="0" w:space="0" w:color="auto"/>
        <w:left w:val="none" w:sz="0" w:space="0" w:color="auto"/>
        <w:bottom w:val="none" w:sz="0" w:space="0" w:color="auto"/>
        <w:right w:val="none" w:sz="0" w:space="0" w:color="auto"/>
      </w:divBdr>
    </w:div>
    <w:div w:id="1440485507">
      <w:bodyDiv w:val="1"/>
      <w:marLeft w:val="0"/>
      <w:marRight w:val="0"/>
      <w:marTop w:val="0"/>
      <w:marBottom w:val="0"/>
      <w:divBdr>
        <w:top w:val="none" w:sz="0" w:space="0" w:color="auto"/>
        <w:left w:val="none" w:sz="0" w:space="0" w:color="auto"/>
        <w:bottom w:val="none" w:sz="0" w:space="0" w:color="auto"/>
        <w:right w:val="none" w:sz="0" w:space="0" w:color="auto"/>
      </w:divBdr>
    </w:div>
    <w:div w:id="1440563511">
      <w:bodyDiv w:val="1"/>
      <w:marLeft w:val="0"/>
      <w:marRight w:val="0"/>
      <w:marTop w:val="0"/>
      <w:marBottom w:val="0"/>
      <w:divBdr>
        <w:top w:val="none" w:sz="0" w:space="0" w:color="auto"/>
        <w:left w:val="none" w:sz="0" w:space="0" w:color="auto"/>
        <w:bottom w:val="none" w:sz="0" w:space="0" w:color="auto"/>
        <w:right w:val="none" w:sz="0" w:space="0" w:color="auto"/>
      </w:divBdr>
    </w:div>
    <w:div w:id="1453286045">
      <w:bodyDiv w:val="1"/>
      <w:marLeft w:val="0"/>
      <w:marRight w:val="0"/>
      <w:marTop w:val="0"/>
      <w:marBottom w:val="0"/>
      <w:divBdr>
        <w:top w:val="none" w:sz="0" w:space="0" w:color="auto"/>
        <w:left w:val="none" w:sz="0" w:space="0" w:color="auto"/>
        <w:bottom w:val="none" w:sz="0" w:space="0" w:color="auto"/>
        <w:right w:val="none" w:sz="0" w:space="0" w:color="auto"/>
      </w:divBdr>
    </w:div>
    <w:div w:id="1454446556">
      <w:bodyDiv w:val="1"/>
      <w:marLeft w:val="0"/>
      <w:marRight w:val="0"/>
      <w:marTop w:val="0"/>
      <w:marBottom w:val="0"/>
      <w:divBdr>
        <w:top w:val="none" w:sz="0" w:space="0" w:color="auto"/>
        <w:left w:val="none" w:sz="0" w:space="0" w:color="auto"/>
        <w:bottom w:val="none" w:sz="0" w:space="0" w:color="auto"/>
        <w:right w:val="none" w:sz="0" w:space="0" w:color="auto"/>
      </w:divBdr>
    </w:div>
    <w:div w:id="1456218884">
      <w:bodyDiv w:val="1"/>
      <w:marLeft w:val="0"/>
      <w:marRight w:val="0"/>
      <w:marTop w:val="0"/>
      <w:marBottom w:val="0"/>
      <w:divBdr>
        <w:top w:val="none" w:sz="0" w:space="0" w:color="auto"/>
        <w:left w:val="none" w:sz="0" w:space="0" w:color="auto"/>
        <w:bottom w:val="none" w:sz="0" w:space="0" w:color="auto"/>
        <w:right w:val="none" w:sz="0" w:space="0" w:color="auto"/>
      </w:divBdr>
    </w:div>
    <w:div w:id="1462502662">
      <w:bodyDiv w:val="1"/>
      <w:marLeft w:val="0"/>
      <w:marRight w:val="0"/>
      <w:marTop w:val="0"/>
      <w:marBottom w:val="0"/>
      <w:divBdr>
        <w:top w:val="none" w:sz="0" w:space="0" w:color="auto"/>
        <w:left w:val="none" w:sz="0" w:space="0" w:color="auto"/>
        <w:bottom w:val="none" w:sz="0" w:space="0" w:color="auto"/>
        <w:right w:val="none" w:sz="0" w:space="0" w:color="auto"/>
      </w:divBdr>
    </w:div>
    <w:div w:id="1469013120">
      <w:bodyDiv w:val="1"/>
      <w:marLeft w:val="0"/>
      <w:marRight w:val="0"/>
      <w:marTop w:val="0"/>
      <w:marBottom w:val="0"/>
      <w:divBdr>
        <w:top w:val="none" w:sz="0" w:space="0" w:color="auto"/>
        <w:left w:val="none" w:sz="0" w:space="0" w:color="auto"/>
        <w:bottom w:val="none" w:sz="0" w:space="0" w:color="auto"/>
        <w:right w:val="none" w:sz="0" w:space="0" w:color="auto"/>
      </w:divBdr>
    </w:div>
    <w:div w:id="1484276983">
      <w:bodyDiv w:val="1"/>
      <w:marLeft w:val="0"/>
      <w:marRight w:val="0"/>
      <w:marTop w:val="0"/>
      <w:marBottom w:val="0"/>
      <w:divBdr>
        <w:top w:val="none" w:sz="0" w:space="0" w:color="auto"/>
        <w:left w:val="none" w:sz="0" w:space="0" w:color="auto"/>
        <w:bottom w:val="none" w:sz="0" w:space="0" w:color="auto"/>
        <w:right w:val="none" w:sz="0" w:space="0" w:color="auto"/>
      </w:divBdr>
    </w:div>
    <w:div w:id="1484348812">
      <w:bodyDiv w:val="1"/>
      <w:marLeft w:val="0"/>
      <w:marRight w:val="0"/>
      <w:marTop w:val="0"/>
      <w:marBottom w:val="0"/>
      <w:divBdr>
        <w:top w:val="none" w:sz="0" w:space="0" w:color="auto"/>
        <w:left w:val="none" w:sz="0" w:space="0" w:color="auto"/>
        <w:bottom w:val="none" w:sz="0" w:space="0" w:color="auto"/>
        <w:right w:val="none" w:sz="0" w:space="0" w:color="auto"/>
      </w:divBdr>
    </w:div>
    <w:div w:id="1505971520">
      <w:bodyDiv w:val="1"/>
      <w:marLeft w:val="0"/>
      <w:marRight w:val="0"/>
      <w:marTop w:val="0"/>
      <w:marBottom w:val="0"/>
      <w:divBdr>
        <w:top w:val="none" w:sz="0" w:space="0" w:color="auto"/>
        <w:left w:val="none" w:sz="0" w:space="0" w:color="auto"/>
        <w:bottom w:val="none" w:sz="0" w:space="0" w:color="auto"/>
        <w:right w:val="none" w:sz="0" w:space="0" w:color="auto"/>
      </w:divBdr>
    </w:div>
    <w:div w:id="1515612633">
      <w:bodyDiv w:val="1"/>
      <w:marLeft w:val="0"/>
      <w:marRight w:val="0"/>
      <w:marTop w:val="0"/>
      <w:marBottom w:val="0"/>
      <w:divBdr>
        <w:top w:val="none" w:sz="0" w:space="0" w:color="auto"/>
        <w:left w:val="none" w:sz="0" w:space="0" w:color="auto"/>
        <w:bottom w:val="none" w:sz="0" w:space="0" w:color="auto"/>
        <w:right w:val="none" w:sz="0" w:space="0" w:color="auto"/>
      </w:divBdr>
    </w:div>
    <w:div w:id="1526673685">
      <w:bodyDiv w:val="1"/>
      <w:marLeft w:val="0"/>
      <w:marRight w:val="0"/>
      <w:marTop w:val="0"/>
      <w:marBottom w:val="0"/>
      <w:divBdr>
        <w:top w:val="none" w:sz="0" w:space="0" w:color="auto"/>
        <w:left w:val="none" w:sz="0" w:space="0" w:color="auto"/>
        <w:bottom w:val="none" w:sz="0" w:space="0" w:color="auto"/>
        <w:right w:val="none" w:sz="0" w:space="0" w:color="auto"/>
      </w:divBdr>
    </w:div>
    <w:div w:id="1534534907">
      <w:bodyDiv w:val="1"/>
      <w:marLeft w:val="0"/>
      <w:marRight w:val="0"/>
      <w:marTop w:val="0"/>
      <w:marBottom w:val="0"/>
      <w:divBdr>
        <w:top w:val="none" w:sz="0" w:space="0" w:color="auto"/>
        <w:left w:val="none" w:sz="0" w:space="0" w:color="auto"/>
        <w:bottom w:val="none" w:sz="0" w:space="0" w:color="auto"/>
        <w:right w:val="none" w:sz="0" w:space="0" w:color="auto"/>
      </w:divBdr>
    </w:div>
    <w:div w:id="1538086365">
      <w:bodyDiv w:val="1"/>
      <w:marLeft w:val="0"/>
      <w:marRight w:val="0"/>
      <w:marTop w:val="0"/>
      <w:marBottom w:val="0"/>
      <w:divBdr>
        <w:top w:val="none" w:sz="0" w:space="0" w:color="auto"/>
        <w:left w:val="none" w:sz="0" w:space="0" w:color="auto"/>
        <w:bottom w:val="none" w:sz="0" w:space="0" w:color="auto"/>
        <w:right w:val="none" w:sz="0" w:space="0" w:color="auto"/>
      </w:divBdr>
    </w:div>
    <w:div w:id="1538934345">
      <w:bodyDiv w:val="1"/>
      <w:marLeft w:val="0"/>
      <w:marRight w:val="0"/>
      <w:marTop w:val="0"/>
      <w:marBottom w:val="0"/>
      <w:divBdr>
        <w:top w:val="none" w:sz="0" w:space="0" w:color="auto"/>
        <w:left w:val="none" w:sz="0" w:space="0" w:color="auto"/>
        <w:bottom w:val="none" w:sz="0" w:space="0" w:color="auto"/>
        <w:right w:val="none" w:sz="0" w:space="0" w:color="auto"/>
      </w:divBdr>
    </w:div>
    <w:div w:id="1545366716">
      <w:bodyDiv w:val="1"/>
      <w:marLeft w:val="0"/>
      <w:marRight w:val="0"/>
      <w:marTop w:val="0"/>
      <w:marBottom w:val="0"/>
      <w:divBdr>
        <w:top w:val="none" w:sz="0" w:space="0" w:color="auto"/>
        <w:left w:val="none" w:sz="0" w:space="0" w:color="auto"/>
        <w:bottom w:val="none" w:sz="0" w:space="0" w:color="auto"/>
        <w:right w:val="none" w:sz="0" w:space="0" w:color="auto"/>
      </w:divBdr>
    </w:div>
    <w:div w:id="1546676743">
      <w:bodyDiv w:val="1"/>
      <w:marLeft w:val="0"/>
      <w:marRight w:val="0"/>
      <w:marTop w:val="0"/>
      <w:marBottom w:val="0"/>
      <w:divBdr>
        <w:top w:val="none" w:sz="0" w:space="0" w:color="auto"/>
        <w:left w:val="none" w:sz="0" w:space="0" w:color="auto"/>
        <w:bottom w:val="none" w:sz="0" w:space="0" w:color="auto"/>
        <w:right w:val="none" w:sz="0" w:space="0" w:color="auto"/>
      </w:divBdr>
    </w:div>
    <w:div w:id="1557816814">
      <w:bodyDiv w:val="1"/>
      <w:marLeft w:val="0"/>
      <w:marRight w:val="0"/>
      <w:marTop w:val="0"/>
      <w:marBottom w:val="0"/>
      <w:divBdr>
        <w:top w:val="none" w:sz="0" w:space="0" w:color="auto"/>
        <w:left w:val="none" w:sz="0" w:space="0" w:color="auto"/>
        <w:bottom w:val="none" w:sz="0" w:space="0" w:color="auto"/>
        <w:right w:val="none" w:sz="0" w:space="0" w:color="auto"/>
      </w:divBdr>
    </w:div>
    <w:div w:id="1560553104">
      <w:bodyDiv w:val="1"/>
      <w:marLeft w:val="0"/>
      <w:marRight w:val="0"/>
      <w:marTop w:val="0"/>
      <w:marBottom w:val="0"/>
      <w:divBdr>
        <w:top w:val="none" w:sz="0" w:space="0" w:color="auto"/>
        <w:left w:val="none" w:sz="0" w:space="0" w:color="auto"/>
        <w:bottom w:val="none" w:sz="0" w:space="0" w:color="auto"/>
        <w:right w:val="none" w:sz="0" w:space="0" w:color="auto"/>
      </w:divBdr>
    </w:div>
    <w:div w:id="1575697728">
      <w:bodyDiv w:val="1"/>
      <w:marLeft w:val="0"/>
      <w:marRight w:val="0"/>
      <w:marTop w:val="0"/>
      <w:marBottom w:val="0"/>
      <w:divBdr>
        <w:top w:val="none" w:sz="0" w:space="0" w:color="auto"/>
        <w:left w:val="none" w:sz="0" w:space="0" w:color="auto"/>
        <w:bottom w:val="none" w:sz="0" w:space="0" w:color="auto"/>
        <w:right w:val="none" w:sz="0" w:space="0" w:color="auto"/>
      </w:divBdr>
    </w:div>
    <w:div w:id="1577857468">
      <w:bodyDiv w:val="1"/>
      <w:marLeft w:val="0"/>
      <w:marRight w:val="0"/>
      <w:marTop w:val="0"/>
      <w:marBottom w:val="0"/>
      <w:divBdr>
        <w:top w:val="none" w:sz="0" w:space="0" w:color="auto"/>
        <w:left w:val="none" w:sz="0" w:space="0" w:color="auto"/>
        <w:bottom w:val="none" w:sz="0" w:space="0" w:color="auto"/>
        <w:right w:val="none" w:sz="0" w:space="0" w:color="auto"/>
      </w:divBdr>
    </w:div>
    <w:div w:id="1584023736">
      <w:bodyDiv w:val="1"/>
      <w:marLeft w:val="0"/>
      <w:marRight w:val="0"/>
      <w:marTop w:val="0"/>
      <w:marBottom w:val="0"/>
      <w:divBdr>
        <w:top w:val="none" w:sz="0" w:space="0" w:color="auto"/>
        <w:left w:val="none" w:sz="0" w:space="0" w:color="auto"/>
        <w:bottom w:val="none" w:sz="0" w:space="0" w:color="auto"/>
        <w:right w:val="none" w:sz="0" w:space="0" w:color="auto"/>
      </w:divBdr>
    </w:div>
    <w:div w:id="1589536531">
      <w:bodyDiv w:val="1"/>
      <w:marLeft w:val="0"/>
      <w:marRight w:val="0"/>
      <w:marTop w:val="0"/>
      <w:marBottom w:val="0"/>
      <w:divBdr>
        <w:top w:val="none" w:sz="0" w:space="0" w:color="auto"/>
        <w:left w:val="none" w:sz="0" w:space="0" w:color="auto"/>
        <w:bottom w:val="none" w:sz="0" w:space="0" w:color="auto"/>
        <w:right w:val="none" w:sz="0" w:space="0" w:color="auto"/>
      </w:divBdr>
    </w:div>
    <w:div w:id="1593465947">
      <w:bodyDiv w:val="1"/>
      <w:marLeft w:val="0"/>
      <w:marRight w:val="0"/>
      <w:marTop w:val="0"/>
      <w:marBottom w:val="0"/>
      <w:divBdr>
        <w:top w:val="none" w:sz="0" w:space="0" w:color="auto"/>
        <w:left w:val="none" w:sz="0" w:space="0" w:color="auto"/>
        <w:bottom w:val="none" w:sz="0" w:space="0" w:color="auto"/>
        <w:right w:val="none" w:sz="0" w:space="0" w:color="auto"/>
      </w:divBdr>
    </w:div>
    <w:div w:id="1600140064">
      <w:bodyDiv w:val="1"/>
      <w:marLeft w:val="0"/>
      <w:marRight w:val="0"/>
      <w:marTop w:val="0"/>
      <w:marBottom w:val="0"/>
      <w:divBdr>
        <w:top w:val="none" w:sz="0" w:space="0" w:color="auto"/>
        <w:left w:val="none" w:sz="0" w:space="0" w:color="auto"/>
        <w:bottom w:val="none" w:sz="0" w:space="0" w:color="auto"/>
        <w:right w:val="none" w:sz="0" w:space="0" w:color="auto"/>
      </w:divBdr>
    </w:div>
    <w:div w:id="1615015567">
      <w:bodyDiv w:val="1"/>
      <w:marLeft w:val="0"/>
      <w:marRight w:val="0"/>
      <w:marTop w:val="0"/>
      <w:marBottom w:val="0"/>
      <w:divBdr>
        <w:top w:val="none" w:sz="0" w:space="0" w:color="auto"/>
        <w:left w:val="none" w:sz="0" w:space="0" w:color="auto"/>
        <w:bottom w:val="none" w:sz="0" w:space="0" w:color="auto"/>
        <w:right w:val="none" w:sz="0" w:space="0" w:color="auto"/>
      </w:divBdr>
    </w:div>
    <w:div w:id="1617829364">
      <w:bodyDiv w:val="1"/>
      <w:marLeft w:val="0"/>
      <w:marRight w:val="0"/>
      <w:marTop w:val="0"/>
      <w:marBottom w:val="0"/>
      <w:divBdr>
        <w:top w:val="none" w:sz="0" w:space="0" w:color="auto"/>
        <w:left w:val="none" w:sz="0" w:space="0" w:color="auto"/>
        <w:bottom w:val="none" w:sz="0" w:space="0" w:color="auto"/>
        <w:right w:val="none" w:sz="0" w:space="0" w:color="auto"/>
      </w:divBdr>
    </w:div>
    <w:div w:id="1625503220">
      <w:bodyDiv w:val="1"/>
      <w:marLeft w:val="0"/>
      <w:marRight w:val="0"/>
      <w:marTop w:val="0"/>
      <w:marBottom w:val="0"/>
      <w:divBdr>
        <w:top w:val="none" w:sz="0" w:space="0" w:color="auto"/>
        <w:left w:val="none" w:sz="0" w:space="0" w:color="auto"/>
        <w:bottom w:val="none" w:sz="0" w:space="0" w:color="auto"/>
        <w:right w:val="none" w:sz="0" w:space="0" w:color="auto"/>
      </w:divBdr>
    </w:div>
    <w:div w:id="1631352486">
      <w:bodyDiv w:val="1"/>
      <w:marLeft w:val="0"/>
      <w:marRight w:val="0"/>
      <w:marTop w:val="0"/>
      <w:marBottom w:val="0"/>
      <w:divBdr>
        <w:top w:val="none" w:sz="0" w:space="0" w:color="auto"/>
        <w:left w:val="none" w:sz="0" w:space="0" w:color="auto"/>
        <w:bottom w:val="none" w:sz="0" w:space="0" w:color="auto"/>
        <w:right w:val="none" w:sz="0" w:space="0" w:color="auto"/>
      </w:divBdr>
    </w:div>
    <w:div w:id="1633828496">
      <w:bodyDiv w:val="1"/>
      <w:marLeft w:val="0"/>
      <w:marRight w:val="0"/>
      <w:marTop w:val="0"/>
      <w:marBottom w:val="0"/>
      <w:divBdr>
        <w:top w:val="none" w:sz="0" w:space="0" w:color="auto"/>
        <w:left w:val="none" w:sz="0" w:space="0" w:color="auto"/>
        <w:bottom w:val="none" w:sz="0" w:space="0" w:color="auto"/>
        <w:right w:val="none" w:sz="0" w:space="0" w:color="auto"/>
      </w:divBdr>
    </w:div>
    <w:div w:id="1669600251">
      <w:bodyDiv w:val="1"/>
      <w:marLeft w:val="0"/>
      <w:marRight w:val="0"/>
      <w:marTop w:val="0"/>
      <w:marBottom w:val="0"/>
      <w:divBdr>
        <w:top w:val="none" w:sz="0" w:space="0" w:color="auto"/>
        <w:left w:val="none" w:sz="0" w:space="0" w:color="auto"/>
        <w:bottom w:val="none" w:sz="0" w:space="0" w:color="auto"/>
        <w:right w:val="none" w:sz="0" w:space="0" w:color="auto"/>
      </w:divBdr>
    </w:div>
    <w:div w:id="1703625887">
      <w:bodyDiv w:val="1"/>
      <w:marLeft w:val="0"/>
      <w:marRight w:val="0"/>
      <w:marTop w:val="0"/>
      <w:marBottom w:val="0"/>
      <w:divBdr>
        <w:top w:val="none" w:sz="0" w:space="0" w:color="auto"/>
        <w:left w:val="none" w:sz="0" w:space="0" w:color="auto"/>
        <w:bottom w:val="none" w:sz="0" w:space="0" w:color="auto"/>
        <w:right w:val="none" w:sz="0" w:space="0" w:color="auto"/>
      </w:divBdr>
    </w:div>
    <w:div w:id="1717898189">
      <w:bodyDiv w:val="1"/>
      <w:marLeft w:val="0"/>
      <w:marRight w:val="0"/>
      <w:marTop w:val="0"/>
      <w:marBottom w:val="0"/>
      <w:divBdr>
        <w:top w:val="none" w:sz="0" w:space="0" w:color="auto"/>
        <w:left w:val="none" w:sz="0" w:space="0" w:color="auto"/>
        <w:bottom w:val="none" w:sz="0" w:space="0" w:color="auto"/>
        <w:right w:val="none" w:sz="0" w:space="0" w:color="auto"/>
      </w:divBdr>
    </w:div>
    <w:div w:id="1724600314">
      <w:bodyDiv w:val="1"/>
      <w:marLeft w:val="0"/>
      <w:marRight w:val="0"/>
      <w:marTop w:val="0"/>
      <w:marBottom w:val="0"/>
      <w:divBdr>
        <w:top w:val="none" w:sz="0" w:space="0" w:color="auto"/>
        <w:left w:val="none" w:sz="0" w:space="0" w:color="auto"/>
        <w:bottom w:val="none" w:sz="0" w:space="0" w:color="auto"/>
        <w:right w:val="none" w:sz="0" w:space="0" w:color="auto"/>
      </w:divBdr>
    </w:div>
    <w:div w:id="1748380058">
      <w:bodyDiv w:val="1"/>
      <w:marLeft w:val="0"/>
      <w:marRight w:val="0"/>
      <w:marTop w:val="0"/>
      <w:marBottom w:val="0"/>
      <w:divBdr>
        <w:top w:val="none" w:sz="0" w:space="0" w:color="auto"/>
        <w:left w:val="none" w:sz="0" w:space="0" w:color="auto"/>
        <w:bottom w:val="none" w:sz="0" w:space="0" w:color="auto"/>
        <w:right w:val="none" w:sz="0" w:space="0" w:color="auto"/>
      </w:divBdr>
    </w:div>
    <w:div w:id="1750349338">
      <w:bodyDiv w:val="1"/>
      <w:marLeft w:val="0"/>
      <w:marRight w:val="0"/>
      <w:marTop w:val="0"/>
      <w:marBottom w:val="0"/>
      <w:divBdr>
        <w:top w:val="none" w:sz="0" w:space="0" w:color="auto"/>
        <w:left w:val="none" w:sz="0" w:space="0" w:color="auto"/>
        <w:bottom w:val="none" w:sz="0" w:space="0" w:color="auto"/>
        <w:right w:val="none" w:sz="0" w:space="0" w:color="auto"/>
      </w:divBdr>
    </w:div>
    <w:div w:id="1761827505">
      <w:bodyDiv w:val="1"/>
      <w:marLeft w:val="0"/>
      <w:marRight w:val="0"/>
      <w:marTop w:val="0"/>
      <w:marBottom w:val="0"/>
      <w:divBdr>
        <w:top w:val="none" w:sz="0" w:space="0" w:color="auto"/>
        <w:left w:val="none" w:sz="0" w:space="0" w:color="auto"/>
        <w:bottom w:val="none" w:sz="0" w:space="0" w:color="auto"/>
        <w:right w:val="none" w:sz="0" w:space="0" w:color="auto"/>
      </w:divBdr>
    </w:div>
    <w:div w:id="1762946458">
      <w:bodyDiv w:val="1"/>
      <w:marLeft w:val="0"/>
      <w:marRight w:val="0"/>
      <w:marTop w:val="0"/>
      <w:marBottom w:val="0"/>
      <w:divBdr>
        <w:top w:val="none" w:sz="0" w:space="0" w:color="auto"/>
        <w:left w:val="none" w:sz="0" w:space="0" w:color="auto"/>
        <w:bottom w:val="none" w:sz="0" w:space="0" w:color="auto"/>
        <w:right w:val="none" w:sz="0" w:space="0" w:color="auto"/>
      </w:divBdr>
    </w:div>
    <w:div w:id="1764915070">
      <w:bodyDiv w:val="1"/>
      <w:marLeft w:val="0"/>
      <w:marRight w:val="0"/>
      <w:marTop w:val="0"/>
      <w:marBottom w:val="0"/>
      <w:divBdr>
        <w:top w:val="none" w:sz="0" w:space="0" w:color="auto"/>
        <w:left w:val="none" w:sz="0" w:space="0" w:color="auto"/>
        <w:bottom w:val="none" w:sz="0" w:space="0" w:color="auto"/>
        <w:right w:val="none" w:sz="0" w:space="0" w:color="auto"/>
      </w:divBdr>
    </w:div>
    <w:div w:id="1849714515">
      <w:bodyDiv w:val="1"/>
      <w:marLeft w:val="0"/>
      <w:marRight w:val="0"/>
      <w:marTop w:val="0"/>
      <w:marBottom w:val="0"/>
      <w:divBdr>
        <w:top w:val="none" w:sz="0" w:space="0" w:color="auto"/>
        <w:left w:val="none" w:sz="0" w:space="0" w:color="auto"/>
        <w:bottom w:val="none" w:sz="0" w:space="0" w:color="auto"/>
        <w:right w:val="none" w:sz="0" w:space="0" w:color="auto"/>
      </w:divBdr>
    </w:div>
    <w:div w:id="1854957210">
      <w:bodyDiv w:val="1"/>
      <w:marLeft w:val="0"/>
      <w:marRight w:val="0"/>
      <w:marTop w:val="0"/>
      <w:marBottom w:val="0"/>
      <w:divBdr>
        <w:top w:val="none" w:sz="0" w:space="0" w:color="auto"/>
        <w:left w:val="none" w:sz="0" w:space="0" w:color="auto"/>
        <w:bottom w:val="none" w:sz="0" w:space="0" w:color="auto"/>
        <w:right w:val="none" w:sz="0" w:space="0" w:color="auto"/>
      </w:divBdr>
    </w:div>
    <w:div w:id="1873565974">
      <w:bodyDiv w:val="1"/>
      <w:marLeft w:val="0"/>
      <w:marRight w:val="0"/>
      <w:marTop w:val="0"/>
      <w:marBottom w:val="0"/>
      <w:divBdr>
        <w:top w:val="none" w:sz="0" w:space="0" w:color="auto"/>
        <w:left w:val="none" w:sz="0" w:space="0" w:color="auto"/>
        <w:bottom w:val="none" w:sz="0" w:space="0" w:color="auto"/>
        <w:right w:val="none" w:sz="0" w:space="0" w:color="auto"/>
      </w:divBdr>
    </w:div>
    <w:div w:id="1874417529">
      <w:bodyDiv w:val="1"/>
      <w:marLeft w:val="0"/>
      <w:marRight w:val="0"/>
      <w:marTop w:val="0"/>
      <w:marBottom w:val="0"/>
      <w:divBdr>
        <w:top w:val="none" w:sz="0" w:space="0" w:color="auto"/>
        <w:left w:val="none" w:sz="0" w:space="0" w:color="auto"/>
        <w:bottom w:val="none" w:sz="0" w:space="0" w:color="auto"/>
        <w:right w:val="none" w:sz="0" w:space="0" w:color="auto"/>
      </w:divBdr>
    </w:div>
    <w:div w:id="1906376710">
      <w:bodyDiv w:val="1"/>
      <w:marLeft w:val="0"/>
      <w:marRight w:val="0"/>
      <w:marTop w:val="0"/>
      <w:marBottom w:val="0"/>
      <w:divBdr>
        <w:top w:val="none" w:sz="0" w:space="0" w:color="auto"/>
        <w:left w:val="none" w:sz="0" w:space="0" w:color="auto"/>
        <w:bottom w:val="none" w:sz="0" w:space="0" w:color="auto"/>
        <w:right w:val="none" w:sz="0" w:space="0" w:color="auto"/>
      </w:divBdr>
    </w:div>
    <w:div w:id="1911649799">
      <w:bodyDiv w:val="1"/>
      <w:marLeft w:val="0"/>
      <w:marRight w:val="0"/>
      <w:marTop w:val="0"/>
      <w:marBottom w:val="0"/>
      <w:divBdr>
        <w:top w:val="none" w:sz="0" w:space="0" w:color="auto"/>
        <w:left w:val="none" w:sz="0" w:space="0" w:color="auto"/>
        <w:bottom w:val="none" w:sz="0" w:space="0" w:color="auto"/>
        <w:right w:val="none" w:sz="0" w:space="0" w:color="auto"/>
      </w:divBdr>
    </w:div>
    <w:div w:id="1928030960">
      <w:bodyDiv w:val="1"/>
      <w:marLeft w:val="0"/>
      <w:marRight w:val="0"/>
      <w:marTop w:val="0"/>
      <w:marBottom w:val="0"/>
      <w:divBdr>
        <w:top w:val="none" w:sz="0" w:space="0" w:color="auto"/>
        <w:left w:val="none" w:sz="0" w:space="0" w:color="auto"/>
        <w:bottom w:val="none" w:sz="0" w:space="0" w:color="auto"/>
        <w:right w:val="none" w:sz="0" w:space="0" w:color="auto"/>
      </w:divBdr>
    </w:div>
    <w:div w:id="1942495978">
      <w:bodyDiv w:val="1"/>
      <w:marLeft w:val="0"/>
      <w:marRight w:val="0"/>
      <w:marTop w:val="0"/>
      <w:marBottom w:val="0"/>
      <w:divBdr>
        <w:top w:val="none" w:sz="0" w:space="0" w:color="auto"/>
        <w:left w:val="none" w:sz="0" w:space="0" w:color="auto"/>
        <w:bottom w:val="none" w:sz="0" w:space="0" w:color="auto"/>
        <w:right w:val="none" w:sz="0" w:space="0" w:color="auto"/>
      </w:divBdr>
    </w:div>
    <w:div w:id="1974435820">
      <w:bodyDiv w:val="1"/>
      <w:marLeft w:val="0"/>
      <w:marRight w:val="0"/>
      <w:marTop w:val="0"/>
      <w:marBottom w:val="0"/>
      <w:divBdr>
        <w:top w:val="none" w:sz="0" w:space="0" w:color="auto"/>
        <w:left w:val="none" w:sz="0" w:space="0" w:color="auto"/>
        <w:bottom w:val="none" w:sz="0" w:space="0" w:color="auto"/>
        <w:right w:val="none" w:sz="0" w:space="0" w:color="auto"/>
      </w:divBdr>
    </w:div>
    <w:div w:id="1975408935">
      <w:bodyDiv w:val="1"/>
      <w:marLeft w:val="0"/>
      <w:marRight w:val="0"/>
      <w:marTop w:val="0"/>
      <w:marBottom w:val="0"/>
      <w:divBdr>
        <w:top w:val="none" w:sz="0" w:space="0" w:color="auto"/>
        <w:left w:val="none" w:sz="0" w:space="0" w:color="auto"/>
        <w:bottom w:val="none" w:sz="0" w:space="0" w:color="auto"/>
        <w:right w:val="none" w:sz="0" w:space="0" w:color="auto"/>
      </w:divBdr>
    </w:div>
    <w:div w:id="1975475912">
      <w:bodyDiv w:val="1"/>
      <w:marLeft w:val="0"/>
      <w:marRight w:val="0"/>
      <w:marTop w:val="0"/>
      <w:marBottom w:val="0"/>
      <w:divBdr>
        <w:top w:val="none" w:sz="0" w:space="0" w:color="auto"/>
        <w:left w:val="none" w:sz="0" w:space="0" w:color="auto"/>
        <w:bottom w:val="none" w:sz="0" w:space="0" w:color="auto"/>
        <w:right w:val="none" w:sz="0" w:space="0" w:color="auto"/>
      </w:divBdr>
    </w:div>
    <w:div w:id="1979065853">
      <w:bodyDiv w:val="1"/>
      <w:marLeft w:val="0"/>
      <w:marRight w:val="0"/>
      <w:marTop w:val="0"/>
      <w:marBottom w:val="0"/>
      <w:divBdr>
        <w:top w:val="none" w:sz="0" w:space="0" w:color="auto"/>
        <w:left w:val="none" w:sz="0" w:space="0" w:color="auto"/>
        <w:bottom w:val="none" w:sz="0" w:space="0" w:color="auto"/>
        <w:right w:val="none" w:sz="0" w:space="0" w:color="auto"/>
      </w:divBdr>
    </w:div>
    <w:div w:id="1987928170">
      <w:bodyDiv w:val="1"/>
      <w:marLeft w:val="0"/>
      <w:marRight w:val="0"/>
      <w:marTop w:val="0"/>
      <w:marBottom w:val="0"/>
      <w:divBdr>
        <w:top w:val="none" w:sz="0" w:space="0" w:color="auto"/>
        <w:left w:val="none" w:sz="0" w:space="0" w:color="auto"/>
        <w:bottom w:val="none" w:sz="0" w:space="0" w:color="auto"/>
        <w:right w:val="none" w:sz="0" w:space="0" w:color="auto"/>
      </w:divBdr>
    </w:div>
    <w:div w:id="1995059216">
      <w:bodyDiv w:val="1"/>
      <w:marLeft w:val="0"/>
      <w:marRight w:val="0"/>
      <w:marTop w:val="0"/>
      <w:marBottom w:val="0"/>
      <w:divBdr>
        <w:top w:val="none" w:sz="0" w:space="0" w:color="auto"/>
        <w:left w:val="none" w:sz="0" w:space="0" w:color="auto"/>
        <w:bottom w:val="none" w:sz="0" w:space="0" w:color="auto"/>
        <w:right w:val="none" w:sz="0" w:space="0" w:color="auto"/>
      </w:divBdr>
    </w:div>
    <w:div w:id="2017265469">
      <w:bodyDiv w:val="1"/>
      <w:marLeft w:val="0"/>
      <w:marRight w:val="0"/>
      <w:marTop w:val="0"/>
      <w:marBottom w:val="0"/>
      <w:divBdr>
        <w:top w:val="none" w:sz="0" w:space="0" w:color="auto"/>
        <w:left w:val="none" w:sz="0" w:space="0" w:color="auto"/>
        <w:bottom w:val="none" w:sz="0" w:space="0" w:color="auto"/>
        <w:right w:val="none" w:sz="0" w:space="0" w:color="auto"/>
      </w:divBdr>
    </w:div>
    <w:div w:id="2028750625">
      <w:bodyDiv w:val="1"/>
      <w:marLeft w:val="0"/>
      <w:marRight w:val="0"/>
      <w:marTop w:val="0"/>
      <w:marBottom w:val="0"/>
      <w:divBdr>
        <w:top w:val="none" w:sz="0" w:space="0" w:color="auto"/>
        <w:left w:val="none" w:sz="0" w:space="0" w:color="auto"/>
        <w:bottom w:val="none" w:sz="0" w:space="0" w:color="auto"/>
        <w:right w:val="none" w:sz="0" w:space="0" w:color="auto"/>
      </w:divBdr>
    </w:div>
    <w:div w:id="2034988463">
      <w:bodyDiv w:val="1"/>
      <w:marLeft w:val="0"/>
      <w:marRight w:val="0"/>
      <w:marTop w:val="0"/>
      <w:marBottom w:val="0"/>
      <w:divBdr>
        <w:top w:val="none" w:sz="0" w:space="0" w:color="auto"/>
        <w:left w:val="none" w:sz="0" w:space="0" w:color="auto"/>
        <w:bottom w:val="none" w:sz="0" w:space="0" w:color="auto"/>
        <w:right w:val="none" w:sz="0" w:space="0" w:color="auto"/>
      </w:divBdr>
    </w:div>
    <w:div w:id="2055038383">
      <w:bodyDiv w:val="1"/>
      <w:marLeft w:val="0"/>
      <w:marRight w:val="0"/>
      <w:marTop w:val="0"/>
      <w:marBottom w:val="0"/>
      <w:divBdr>
        <w:top w:val="none" w:sz="0" w:space="0" w:color="auto"/>
        <w:left w:val="none" w:sz="0" w:space="0" w:color="auto"/>
        <w:bottom w:val="none" w:sz="0" w:space="0" w:color="auto"/>
        <w:right w:val="none" w:sz="0" w:space="0" w:color="auto"/>
      </w:divBdr>
    </w:div>
    <w:div w:id="2072459510">
      <w:bodyDiv w:val="1"/>
      <w:marLeft w:val="0"/>
      <w:marRight w:val="0"/>
      <w:marTop w:val="0"/>
      <w:marBottom w:val="0"/>
      <w:divBdr>
        <w:top w:val="none" w:sz="0" w:space="0" w:color="auto"/>
        <w:left w:val="none" w:sz="0" w:space="0" w:color="auto"/>
        <w:bottom w:val="none" w:sz="0" w:space="0" w:color="auto"/>
        <w:right w:val="none" w:sz="0" w:space="0" w:color="auto"/>
      </w:divBdr>
    </w:div>
    <w:div w:id="2073505279">
      <w:bodyDiv w:val="1"/>
      <w:marLeft w:val="0"/>
      <w:marRight w:val="0"/>
      <w:marTop w:val="0"/>
      <w:marBottom w:val="0"/>
      <w:divBdr>
        <w:top w:val="none" w:sz="0" w:space="0" w:color="auto"/>
        <w:left w:val="none" w:sz="0" w:space="0" w:color="auto"/>
        <w:bottom w:val="none" w:sz="0" w:space="0" w:color="auto"/>
        <w:right w:val="none" w:sz="0" w:space="0" w:color="auto"/>
      </w:divBdr>
    </w:div>
    <w:div w:id="2090342062">
      <w:bodyDiv w:val="1"/>
      <w:marLeft w:val="0"/>
      <w:marRight w:val="0"/>
      <w:marTop w:val="0"/>
      <w:marBottom w:val="0"/>
      <w:divBdr>
        <w:top w:val="none" w:sz="0" w:space="0" w:color="auto"/>
        <w:left w:val="none" w:sz="0" w:space="0" w:color="auto"/>
        <w:bottom w:val="none" w:sz="0" w:space="0" w:color="auto"/>
        <w:right w:val="none" w:sz="0" w:space="0" w:color="auto"/>
      </w:divBdr>
    </w:div>
    <w:div w:id="2100978328">
      <w:bodyDiv w:val="1"/>
      <w:marLeft w:val="0"/>
      <w:marRight w:val="0"/>
      <w:marTop w:val="0"/>
      <w:marBottom w:val="0"/>
      <w:divBdr>
        <w:top w:val="none" w:sz="0" w:space="0" w:color="auto"/>
        <w:left w:val="none" w:sz="0" w:space="0" w:color="auto"/>
        <w:bottom w:val="none" w:sz="0" w:space="0" w:color="auto"/>
        <w:right w:val="none" w:sz="0" w:space="0" w:color="auto"/>
      </w:divBdr>
    </w:div>
    <w:div w:id="2112510583">
      <w:bodyDiv w:val="1"/>
      <w:marLeft w:val="0"/>
      <w:marRight w:val="0"/>
      <w:marTop w:val="0"/>
      <w:marBottom w:val="0"/>
      <w:divBdr>
        <w:top w:val="none" w:sz="0" w:space="0" w:color="auto"/>
        <w:left w:val="none" w:sz="0" w:space="0" w:color="auto"/>
        <w:bottom w:val="none" w:sz="0" w:space="0" w:color="auto"/>
        <w:right w:val="none" w:sz="0" w:space="0" w:color="auto"/>
      </w:divBdr>
    </w:div>
    <w:div w:id="2117825461">
      <w:bodyDiv w:val="1"/>
      <w:marLeft w:val="0"/>
      <w:marRight w:val="0"/>
      <w:marTop w:val="0"/>
      <w:marBottom w:val="0"/>
      <w:divBdr>
        <w:top w:val="none" w:sz="0" w:space="0" w:color="auto"/>
        <w:left w:val="none" w:sz="0" w:space="0" w:color="auto"/>
        <w:bottom w:val="none" w:sz="0" w:space="0" w:color="auto"/>
        <w:right w:val="none" w:sz="0" w:space="0" w:color="auto"/>
      </w:divBdr>
    </w:div>
    <w:div w:id="213374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ftp.3gpp.org/tsg_ran/WG1_RL1/TSGR1_96/Docs/R1-190324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ftp.3gpp.org/tsg_ran/WG1_RL1/TSGR1_95/Docs/R1-1813723.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94b/Docs/R1-18116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5NUHHDQN7SK2-1476151046-22184</_dlc_DocId>
    <_dlc_DocIdUrl xmlns="f166a696-7b5b-4ccd-9f0c-ffde0cceec81">
      <Url>https://ericsson.sharepoint.com/sites/star/_layouts/15/DocIdRedir.aspx?ID=5NUHHDQN7SK2-1476151046-22184</Url>
      <Description>5NUHHDQN7SK2-1476151046-22184</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66F6D-A676-478C-B3DD-334A14CC4090}">
  <ds:schemaRefs>
    <ds:schemaRef ds:uri="Microsoft.SharePoint.Taxonomy.ContentTypeSync"/>
  </ds:schemaRefs>
</ds:datastoreItem>
</file>

<file path=customXml/itemProps2.xml><?xml version="1.0" encoding="utf-8"?>
<ds:datastoreItem xmlns:ds="http://schemas.openxmlformats.org/officeDocument/2006/customXml" ds:itemID="{C2F62C60-168F-4D8C-A0E1-705BBC11217E}">
  <ds:schemaRefs>
    <ds:schemaRef ds:uri="http://schemas.microsoft.com/sharepoint/events"/>
  </ds:schemaRefs>
</ds:datastoreItem>
</file>

<file path=customXml/itemProps3.xml><?xml version="1.0" encoding="utf-8"?>
<ds:datastoreItem xmlns:ds="http://schemas.openxmlformats.org/officeDocument/2006/customXml" ds:itemID="{15E3EE1B-9EE6-4C35-AB23-DA110A7383D9}">
  <ds:schemaRefs>
    <ds:schemaRef ds:uri="http://schemas.microsoft.com/sharepoint/v3/contenttype/forms"/>
  </ds:schemaRefs>
</ds:datastoreItem>
</file>

<file path=customXml/itemProps4.xml><?xml version="1.0" encoding="utf-8"?>
<ds:datastoreItem xmlns:ds="http://schemas.openxmlformats.org/officeDocument/2006/customXml" ds:itemID="{267AE65B-C10C-4CFF-853E-0C070396D0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A336CAB0-6D03-43AD-9533-A4A597C4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56FADF8-059D-4755-94C4-8062A8C45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4477</Words>
  <Characters>25519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2019-04-09T05:38:00Z</dcterms:created>
  <dcterms:modified xsi:type="dcterms:W3CDTF">2019-05-14T23:13:00Z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e71190be-49ea-4a78-a7dd-7c81b6f04702</vt:lpwstr>
  </property>
</Properties>
</file>